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72" w:rsidRDefault="00C44E72" w:rsidP="003C1311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39" w:rsidRPr="00796401" w:rsidRDefault="00E23511" w:rsidP="00353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401">
        <w:rPr>
          <w:rFonts w:ascii="Times New Roman" w:hAnsi="Times New Roman" w:cs="Times New Roman"/>
          <w:b/>
          <w:sz w:val="28"/>
          <w:szCs w:val="28"/>
        </w:rPr>
        <w:t>Інформац</w:t>
      </w:r>
      <w:r w:rsidR="002C5B09" w:rsidRPr="00796401">
        <w:rPr>
          <w:rFonts w:ascii="Times New Roman" w:hAnsi="Times New Roman" w:cs="Times New Roman"/>
          <w:b/>
          <w:sz w:val="28"/>
          <w:szCs w:val="28"/>
        </w:rPr>
        <w:t xml:space="preserve">ія </w:t>
      </w:r>
      <w:r w:rsidR="002271AE" w:rsidRPr="0079640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C5B09" w:rsidRPr="00796401">
        <w:rPr>
          <w:rFonts w:ascii="Times New Roman" w:hAnsi="Times New Roman" w:cs="Times New Roman"/>
          <w:b/>
          <w:sz w:val="28"/>
          <w:szCs w:val="28"/>
        </w:rPr>
        <w:t xml:space="preserve">роботу </w:t>
      </w:r>
      <w:r w:rsidRPr="00796401">
        <w:rPr>
          <w:rFonts w:ascii="Times New Roman" w:hAnsi="Times New Roman" w:cs="Times New Roman"/>
          <w:b/>
          <w:sz w:val="28"/>
          <w:szCs w:val="28"/>
        </w:rPr>
        <w:t>галузі охорони здоров’я</w:t>
      </w:r>
    </w:p>
    <w:p w:rsidR="00667453" w:rsidRDefault="003535AE" w:rsidP="00353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401">
        <w:rPr>
          <w:rFonts w:ascii="Times New Roman" w:hAnsi="Times New Roman" w:cs="Times New Roman"/>
          <w:b/>
          <w:sz w:val="28"/>
          <w:szCs w:val="28"/>
        </w:rPr>
        <w:t xml:space="preserve">Луцької міської територіальної </w:t>
      </w:r>
      <w:r w:rsidR="00E23511" w:rsidRPr="00796401">
        <w:rPr>
          <w:rFonts w:ascii="Times New Roman" w:hAnsi="Times New Roman" w:cs="Times New Roman"/>
          <w:b/>
          <w:sz w:val="28"/>
          <w:szCs w:val="28"/>
        </w:rPr>
        <w:t xml:space="preserve">громади </w:t>
      </w:r>
      <w:r w:rsidR="00ED7600">
        <w:rPr>
          <w:rFonts w:ascii="Times New Roman" w:hAnsi="Times New Roman" w:cs="Times New Roman"/>
          <w:b/>
          <w:sz w:val="28"/>
          <w:szCs w:val="28"/>
        </w:rPr>
        <w:t>у 2024</w:t>
      </w:r>
      <w:r w:rsidR="002C5B09" w:rsidRPr="00796401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0B0782" w:rsidRPr="00796401" w:rsidRDefault="000B0782" w:rsidP="00353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94" w:rsidRPr="00956A9D" w:rsidRDefault="006A6F94" w:rsidP="006A6F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A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умовах воєнного стану </w:t>
      </w:r>
      <w:r w:rsidRPr="00956A9D">
        <w:rPr>
          <w:rFonts w:ascii="Times New Roman" w:hAnsi="Times New Roman" w:cs="Times New Roman"/>
          <w:sz w:val="28"/>
          <w:szCs w:val="28"/>
        </w:rPr>
        <w:t>у зв’язку з агресією російської федерації</w:t>
      </w:r>
      <w:r w:rsidRPr="00956A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головним завданням</w:t>
      </w:r>
      <w:r w:rsidRPr="00956A9D">
        <w:rPr>
          <w:rFonts w:ascii="Times New Roman" w:hAnsi="Times New Roman" w:cs="Times New Roman"/>
          <w:bCs/>
          <w:sz w:val="28"/>
          <w:szCs w:val="28"/>
        </w:rPr>
        <w:t xml:space="preserve"> комунальної галузі охорони здоров’я Луцької міськ</w:t>
      </w:r>
      <w:r>
        <w:rPr>
          <w:rFonts w:ascii="Times New Roman" w:hAnsi="Times New Roman" w:cs="Times New Roman"/>
          <w:bCs/>
          <w:sz w:val="28"/>
          <w:szCs w:val="28"/>
        </w:rPr>
        <w:t>ої територіальної громади у 2024</w:t>
      </w:r>
      <w:r w:rsidRPr="00956A9D">
        <w:rPr>
          <w:rFonts w:ascii="Times New Roman" w:hAnsi="Times New Roman" w:cs="Times New Roman"/>
          <w:bCs/>
          <w:sz w:val="28"/>
          <w:szCs w:val="28"/>
        </w:rPr>
        <w:t xml:space="preserve"> році залишалось </w:t>
      </w:r>
      <w:r w:rsidRPr="00956A9D">
        <w:rPr>
          <w:rFonts w:ascii="Times New Roman" w:hAnsi="Times New Roman" w:cs="Times New Roman"/>
          <w:sz w:val="28"/>
          <w:szCs w:val="28"/>
        </w:rPr>
        <w:t>надання якісної, доступної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повноційної</w:t>
      </w:r>
      <w:proofErr w:type="spellEnd"/>
      <w:r w:rsidRPr="00956A9D"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>своє</w:t>
      </w:r>
      <w:r w:rsidRPr="00956A9D">
        <w:rPr>
          <w:rFonts w:ascii="Times New Roman" w:hAnsi="Times New Roman" w:cs="Times New Roman"/>
          <w:sz w:val="28"/>
          <w:szCs w:val="28"/>
        </w:rPr>
        <w:t xml:space="preserve">часної медичної допомоги </w:t>
      </w:r>
      <w:r w:rsidRPr="00796401">
        <w:rPr>
          <w:rFonts w:ascii="Times New Roman" w:hAnsi="Times New Roman" w:cs="Times New Roman"/>
          <w:sz w:val="28"/>
          <w:szCs w:val="28"/>
        </w:rPr>
        <w:t>від первинної ланки до високоспеціалізованої</w:t>
      </w:r>
      <w:r w:rsidRPr="00956A9D">
        <w:rPr>
          <w:rFonts w:ascii="Times New Roman" w:hAnsi="Times New Roman" w:cs="Times New Roman"/>
          <w:sz w:val="28"/>
          <w:szCs w:val="28"/>
        </w:rPr>
        <w:t xml:space="preserve"> мешканцям громади, внутрішньо переміщеним особам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6A9D">
        <w:rPr>
          <w:rFonts w:ascii="Times New Roman" w:hAnsi="Times New Roman" w:cs="Times New Roman"/>
          <w:sz w:val="28"/>
          <w:szCs w:val="28"/>
        </w:rPr>
        <w:t xml:space="preserve"> </w:t>
      </w:r>
      <w:r w:rsidRPr="00DB096C">
        <w:rPr>
          <w:rFonts w:ascii="Times New Roman" w:hAnsi="Times New Roman" w:cs="Times New Roman"/>
          <w:sz w:val="28"/>
          <w:szCs w:val="28"/>
        </w:rPr>
        <w:t>пораненим, травмованим та хворим війсь</w:t>
      </w:r>
      <w:r>
        <w:rPr>
          <w:rFonts w:ascii="Times New Roman" w:hAnsi="Times New Roman" w:cs="Times New Roman"/>
          <w:sz w:val="28"/>
          <w:szCs w:val="28"/>
        </w:rPr>
        <w:t xml:space="preserve">ковослужбовцям, в тому числі послуг з їх </w:t>
      </w:r>
      <w:r w:rsidRPr="00DB096C">
        <w:rPr>
          <w:rFonts w:ascii="Times New Roman" w:hAnsi="Times New Roman" w:cs="Times New Roman"/>
          <w:sz w:val="28"/>
          <w:szCs w:val="28"/>
        </w:rPr>
        <w:t>реабілітації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0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94" w:rsidRDefault="006A6F94" w:rsidP="006A6F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401">
        <w:rPr>
          <w:rFonts w:ascii="Times New Roman" w:hAnsi="Times New Roman" w:cs="Times New Roman"/>
          <w:sz w:val="28"/>
          <w:szCs w:val="28"/>
        </w:rPr>
        <w:t>В галузі охорони здоров’я Луцької міської територіальної громади функціонує 5 комунальних пі</w:t>
      </w:r>
      <w:r>
        <w:rPr>
          <w:rFonts w:ascii="Times New Roman" w:hAnsi="Times New Roman" w:cs="Times New Roman"/>
          <w:sz w:val="28"/>
          <w:szCs w:val="28"/>
        </w:rPr>
        <w:t>дприємств (далі – Підприємства)</w:t>
      </w:r>
      <w:r w:rsidR="0010250F">
        <w:rPr>
          <w:rFonts w:ascii="Times New Roman" w:hAnsi="Times New Roman" w:cs="Times New Roman"/>
          <w:sz w:val="28"/>
          <w:szCs w:val="28"/>
        </w:rPr>
        <w:t>, в яких працює близько 2500</w:t>
      </w:r>
      <w:r w:rsidR="00F81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осіб. Протягом 2024 року заклади працювали в штатному режимі, відповідно до вимог </w:t>
      </w:r>
      <w:r w:rsidRPr="00956A9D">
        <w:rPr>
          <w:rFonts w:ascii="Times New Roman" w:hAnsi="Times New Roman" w:cs="Times New Roman"/>
          <w:sz w:val="28"/>
          <w:szCs w:val="28"/>
        </w:rPr>
        <w:t>наказу МОЗ України від 24.02.2022 № 374 «Про затвердження Тимчасових заходів у закладах охорони здоров'я з метою забезпечення їх готовності для надання медичної допомоги постраждалим внаслідок військової агресії російської федерації проти України (в редакції від 20.03.2022 № 507)»</w:t>
      </w:r>
      <w:r w:rsidR="000A3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796401">
        <w:rPr>
          <w:rFonts w:ascii="Times New Roman" w:hAnsi="Times New Roman" w:cs="Times New Roman"/>
          <w:sz w:val="28"/>
          <w:szCs w:val="28"/>
        </w:rPr>
        <w:t>діяли в єдиному</w:t>
      </w:r>
      <w:r>
        <w:rPr>
          <w:rFonts w:ascii="Times New Roman" w:hAnsi="Times New Roman" w:cs="Times New Roman"/>
          <w:sz w:val="28"/>
          <w:szCs w:val="28"/>
        </w:rPr>
        <w:t xml:space="preserve"> медичному просторі.</w:t>
      </w:r>
      <w:r w:rsidRPr="007D5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A18" w:rsidRPr="008107CE" w:rsidRDefault="00F81A18" w:rsidP="00F81A18">
      <w:pPr>
        <w:pStyle w:val="a9"/>
        <w:suppressAutoHyphens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07CE">
        <w:rPr>
          <w:rFonts w:ascii="Times New Roman" w:hAnsi="Times New Roman" w:cs="Times New Roman"/>
          <w:color w:val="auto"/>
          <w:sz w:val="28"/>
          <w:szCs w:val="28"/>
        </w:rPr>
        <w:t xml:space="preserve">За підсумками роботи у 2024 році працівниками </w:t>
      </w:r>
      <w:proofErr w:type="spellStart"/>
      <w:r w:rsidRPr="008107CE">
        <w:rPr>
          <w:rFonts w:ascii="Times New Roman" w:hAnsi="Times New Roman" w:cs="Times New Roman"/>
          <w:color w:val="auto"/>
          <w:sz w:val="28"/>
          <w:szCs w:val="28"/>
        </w:rPr>
        <w:t>КП</w:t>
      </w:r>
      <w:proofErr w:type="spellEnd"/>
      <w:r w:rsidRPr="008107CE">
        <w:rPr>
          <w:rFonts w:ascii="Times New Roman" w:hAnsi="Times New Roman" w:cs="Times New Roman"/>
          <w:color w:val="auto"/>
          <w:sz w:val="28"/>
          <w:szCs w:val="28"/>
        </w:rPr>
        <w:t xml:space="preserve"> «Медичне об’єднання Луцької міської територіальної громади» створено у Єдиній системі охорони здоров’я 4,7 млн. електронних медичних записів, з яких 973,9 тис. це лікарські взаємодії, що є </w:t>
      </w:r>
      <w:r w:rsidRPr="008107CE">
        <w:rPr>
          <w:rFonts w:ascii="Times New Roman" w:hAnsi="Times New Roman" w:cs="Times New Roman"/>
          <w:b/>
          <w:bCs/>
          <w:color w:val="auto"/>
          <w:sz w:val="28"/>
          <w:szCs w:val="28"/>
        </w:rPr>
        <w:t>4 показником серед усіх медичних закладів України</w:t>
      </w:r>
      <w:r w:rsidRPr="008107C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8107CE">
        <w:rPr>
          <w:rFonts w:ascii="Times New Roman" w:hAnsi="Times New Roman" w:cs="Times New Roman"/>
          <w:color w:val="auto"/>
          <w:sz w:val="28"/>
          <w:szCs w:val="28"/>
        </w:rPr>
        <w:t xml:space="preserve"> Створено 1</w:t>
      </w:r>
      <w:r w:rsidRPr="008107CE">
        <w:rPr>
          <w:rFonts w:ascii="Times New Roman" w:hAnsi="Times New Roman" w:cs="Times New Roman"/>
          <w:color w:val="auto"/>
          <w:sz w:val="28"/>
          <w:szCs w:val="28"/>
          <w:lang w:val="ru-RU"/>
        </w:rPr>
        <w:t>23</w:t>
      </w:r>
      <w:r w:rsidRPr="008107CE">
        <w:rPr>
          <w:rFonts w:ascii="Times New Roman" w:hAnsi="Times New Roman" w:cs="Times New Roman"/>
          <w:color w:val="auto"/>
          <w:sz w:val="28"/>
          <w:szCs w:val="28"/>
        </w:rPr>
        <w:t xml:space="preserve"> тис. електронних рецептів на лікарські засоби за програмою «Доступні ліки» – </w:t>
      </w:r>
      <w:r w:rsidRPr="008107CE">
        <w:rPr>
          <w:rFonts w:ascii="Times New Roman" w:hAnsi="Times New Roman" w:cs="Times New Roman"/>
          <w:b/>
          <w:bCs/>
          <w:color w:val="auto"/>
          <w:sz w:val="28"/>
          <w:szCs w:val="28"/>
        </w:rPr>
        <w:t>3 місце серед усіх медичних закладів України</w:t>
      </w:r>
      <w:r w:rsidRPr="008107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Pr="008107CE">
        <w:rPr>
          <w:rFonts w:ascii="Times New Roman" w:hAnsi="Times New Roman" w:cs="Times New Roman"/>
          <w:b/>
          <w:bCs/>
          <w:color w:val="auto"/>
          <w:sz w:val="28"/>
          <w:szCs w:val="28"/>
        </w:rPr>
        <w:t>Вперше в області 21.12.2024</w:t>
      </w:r>
      <w:r w:rsidRPr="008107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було виконано два надс</w:t>
      </w:r>
      <w:r w:rsidR="00133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кладних </w:t>
      </w:r>
      <w:proofErr w:type="spellStart"/>
      <w:r w:rsidR="00133714">
        <w:rPr>
          <w:rFonts w:ascii="Times New Roman" w:hAnsi="Times New Roman" w:cs="Times New Roman"/>
          <w:bCs/>
          <w:color w:val="auto"/>
          <w:sz w:val="28"/>
          <w:szCs w:val="28"/>
        </w:rPr>
        <w:t>біфуркаційних</w:t>
      </w:r>
      <w:proofErr w:type="spellEnd"/>
      <w:r w:rsidR="00133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133714">
        <w:rPr>
          <w:rFonts w:ascii="Times New Roman" w:hAnsi="Times New Roman" w:cs="Times New Roman"/>
          <w:bCs/>
          <w:color w:val="auto"/>
          <w:sz w:val="28"/>
          <w:szCs w:val="28"/>
        </w:rPr>
        <w:t>стентування</w:t>
      </w:r>
      <w:proofErr w:type="spellEnd"/>
      <w:r w:rsidRPr="008107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 ураженому стовбурі лівої коронарної артерії під контролем IVUS</w:t>
      </w:r>
      <w:r w:rsidRPr="008107CE">
        <w:rPr>
          <w:rFonts w:ascii="Times New Roman" w:hAnsi="Times New Roman" w:cs="Times New Roman"/>
          <w:color w:val="auto"/>
          <w:sz w:val="28"/>
          <w:szCs w:val="28"/>
        </w:rPr>
        <w:t xml:space="preserve">, що дало можливість допомогти пацієнтам </w:t>
      </w:r>
      <w:proofErr w:type="spellStart"/>
      <w:r w:rsidRPr="008107CE">
        <w:rPr>
          <w:rFonts w:ascii="Times New Roman" w:hAnsi="Times New Roman" w:cs="Times New Roman"/>
          <w:color w:val="auto"/>
          <w:sz w:val="28"/>
          <w:szCs w:val="28"/>
        </w:rPr>
        <w:t>малоінвазивним</w:t>
      </w:r>
      <w:proofErr w:type="spellEnd"/>
      <w:r w:rsidRPr="008107CE">
        <w:rPr>
          <w:rFonts w:ascii="Times New Roman" w:hAnsi="Times New Roman" w:cs="Times New Roman"/>
          <w:color w:val="auto"/>
          <w:sz w:val="28"/>
          <w:szCs w:val="28"/>
        </w:rPr>
        <w:t xml:space="preserve"> втручанням. Продовжує розвиватися напрямок </w:t>
      </w:r>
      <w:proofErr w:type="spellStart"/>
      <w:r w:rsidRPr="008107CE">
        <w:rPr>
          <w:rFonts w:ascii="Times New Roman" w:hAnsi="Times New Roman" w:cs="Times New Roman"/>
          <w:color w:val="auto"/>
          <w:sz w:val="28"/>
          <w:szCs w:val="28"/>
        </w:rPr>
        <w:t>баріатричної</w:t>
      </w:r>
      <w:proofErr w:type="spellEnd"/>
      <w:r w:rsidRPr="008107CE">
        <w:rPr>
          <w:rFonts w:ascii="Times New Roman" w:hAnsi="Times New Roman" w:cs="Times New Roman"/>
          <w:color w:val="auto"/>
          <w:sz w:val="28"/>
          <w:szCs w:val="28"/>
        </w:rPr>
        <w:t xml:space="preserve"> хірургії - вперше у Волинській області пацієнту з ожирінням виконано </w:t>
      </w:r>
      <w:proofErr w:type="spellStart"/>
      <w:r w:rsidRPr="008107CE">
        <w:rPr>
          <w:rFonts w:ascii="Times New Roman" w:hAnsi="Times New Roman" w:cs="Times New Roman"/>
          <w:color w:val="auto"/>
          <w:sz w:val="28"/>
          <w:szCs w:val="28"/>
        </w:rPr>
        <w:t>лапароскопічний</w:t>
      </w:r>
      <w:proofErr w:type="spellEnd"/>
      <w:r w:rsidRPr="008107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107CE">
        <w:rPr>
          <w:rFonts w:ascii="Times New Roman" w:hAnsi="Times New Roman" w:cs="Times New Roman"/>
          <w:color w:val="auto"/>
          <w:sz w:val="28"/>
          <w:szCs w:val="28"/>
        </w:rPr>
        <w:t>мінігастрікбайпас</w:t>
      </w:r>
      <w:proofErr w:type="spellEnd"/>
      <w:r w:rsidRPr="008107C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81A18" w:rsidRPr="008107CE" w:rsidRDefault="00F81A18" w:rsidP="00F81A18">
      <w:pPr>
        <w:pStyle w:val="a9"/>
        <w:suppressAutoHyphens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07CE">
        <w:rPr>
          <w:rFonts w:ascii="Times New Roman" w:hAnsi="Times New Roman" w:cs="Times New Roman"/>
          <w:color w:val="auto"/>
          <w:sz w:val="28"/>
          <w:szCs w:val="28"/>
        </w:rPr>
        <w:t xml:space="preserve">В рамках спільного з Міжнародним банком реконструкції та розвитку проєкту МОЗ «Екстрене реагування на COVID-19 та вакцинація в Україні» заклад був включений до розподілу Систем </w:t>
      </w:r>
      <w:proofErr w:type="spellStart"/>
      <w:r w:rsidRPr="008107CE">
        <w:rPr>
          <w:rFonts w:ascii="Times New Roman" w:hAnsi="Times New Roman" w:cs="Times New Roman"/>
          <w:color w:val="auto"/>
          <w:sz w:val="28"/>
          <w:szCs w:val="28"/>
        </w:rPr>
        <w:t>ангіографічних</w:t>
      </w:r>
      <w:proofErr w:type="spellEnd"/>
      <w:r w:rsidRPr="008107CE">
        <w:rPr>
          <w:rFonts w:ascii="Times New Roman" w:hAnsi="Times New Roman" w:cs="Times New Roman"/>
          <w:color w:val="auto"/>
          <w:sz w:val="28"/>
          <w:szCs w:val="28"/>
        </w:rPr>
        <w:t xml:space="preserve"> інтервенційних, закуплених за бюджетною програмою 2301610 «Поліпшення охорони здоров'я на службі у людей». 26.10.2024 була встановлена та введена в експлуатацію система </w:t>
      </w:r>
      <w:proofErr w:type="spellStart"/>
      <w:r w:rsidRPr="008107CE">
        <w:rPr>
          <w:rFonts w:ascii="Times New Roman" w:hAnsi="Times New Roman" w:cs="Times New Roman"/>
          <w:color w:val="auto"/>
          <w:sz w:val="28"/>
          <w:szCs w:val="28"/>
        </w:rPr>
        <w:t>ангіографічна</w:t>
      </w:r>
      <w:proofErr w:type="spellEnd"/>
      <w:r w:rsidRPr="008107CE">
        <w:rPr>
          <w:rFonts w:ascii="Times New Roman" w:hAnsi="Times New Roman" w:cs="Times New Roman"/>
          <w:color w:val="auto"/>
          <w:sz w:val="28"/>
          <w:szCs w:val="28"/>
        </w:rPr>
        <w:t xml:space="preserve"> інтервенційна </w:t>
      </w:r>
      <w:proofErr w:type="spellStart"/>
      <w:r w:rsidRPr="008107CE">
        <w:rPr>
          <w:rFonts w:ascii="Times New Roman" w:hAnsi="Times New Roman" w:cs="Times New Roman"/>
          <w:color w:val="auto"/>
          <w:sz w:val="28"/>
          <w:szCs w:val="28"/>
        </w:rPr>
        <w:t>Azurion</w:t>
      </w:r>
      <w:proofErr w:type="spellEnd"/>
      <w:r w:rsidRPr="008107CE">
        <w:rPr>
          <w:rFonts w:ascii="Times New Roman" w:hAnsi="Times New Roman" w:cs="Times New Roman"/>
          <w:color w:val="auto"/>
          <w:sz w:val="28"/>
          <w:szCs w:val="28"/>
        </w:rPr>
        <w:t xml:space="preserve"> 5 M20 вартістю 30,9 млн. грн. Дана модель обладнання розроблена для проведення судинних інтервенцій пацієнтам з неврологічною патологією та дозволить покращити надання допомоги пацієнтам з порушеннями мозкового кровообігу.</w:t>
      </w:r>
    </w:p>
    <w:p w:rsidR="00F81A18" w:rsidRPr="008107CE" w:rsidRDefault="00F81A18" w:rsidP="00F81A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7CE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8107CE">
        <w:rPr>
          <w:rFonts w:ascii="Times New Roman" w:hAnsi="Times New Roman" w:cs="Times New Roman"/>
          <w:sz w:val="28"/>
          <w:szCs w:val="28"/>
        </w:rPr>
        <w:t xml:space="preserve"> «Луцька міська дитяча поліклініка» надає кваліфіковану первинну, амбулаторно-поліклінічну допомогу дитячому населенню. На території Луцької МТГ мешкають більше 50 тисяч дітей. Одним з пріоритетних напрямків діяльності підприємства, особливо в умовах воєнного часу, є розвиток реабілітаційної допомоги дітям. Обладнано сенсорну кімнату для занять з </w:t>
      </w:r>
      <w:proofErr w:type="spellStart"/>
      <w:r w:rsidRPr="008107CE">
        <w:rPr>
          <w:rFonts w:ascii="Times New Roman" w:hAnsi="Times New Roman" w:cs="Times New Roman"/>
          <w:sz w:val="28"/>
          <w:szCs w:val="28"/>
        </w:rPr>
        <w:t>ерготерапевтом</w:t>
      </w:r>
      <w:proofErr w:type="spellEnd"/>
      <w:r w:rsidRPr="008107CE">
        <w:rPr>
          <w:rFonts w:ascii="Times New Roman" w:hAnsi="Times New Roman" w:cs="Times New Roman"/>
          <w:sz w:val="28"/>
          <w:szCs w:val="28"/>
        </w:rPr>
        <w:t xml:space="preserve">. Впроваджено понад 20 нових методик дослідження </w:t>
      </w:r>
      <w:proofErr w:type="spellStart"/>
      <w:r w:rsidRPr="008107CE">
        <w:rPr>
          <w:rFonts w:ascii="Times New Roman" w:hAnsi="Times New Roman" w:cs="Times New Roman"/>
          <w:sz w:val="28"/>
          <w:szCs w:val="28"/>
        </w:rPr>
        <w:lastRenderedPageBreak/>
        <w:t>біоматеріалу</w:t>
      </w:r>
      <w:proofErr w:type="spellEnd"/>
      <w:r w:rsidRPr="008107CE">
        <w:rPr>
          <w:rFonts w:ascii="Times New Roman" w:hAnsi="Times New Roman" w:cs="Times New Roman"/>
          <w:sz w:val="28"/>
          <w:szCs w:val="28"/>
        </w:rPr>
        <w:t xml:space="preserve">. Нові методики, зокрема, передбачають зменшення кількості досліджуваної крові (мікродози), що менш </w:t>
      </w:r>
      <w:proofErr w:type="spellStart"/>
      <w:r w:rsidRPr="008107CE">
        <w:rPr>
          <w:rFonts w:ascii="Times New Roman" w:hAnsi="Times New Roman" w:cs="Times New Roman"/>
          <w:sz w:val="28"/>
          <w:szCs w:val="28"/>
        </w:rPr>
        <w:t>травматично</w:t>
      </w:r>
      <w:proofErr w:type="spellEnd"/>
      <w:r w:rsidRPr="008107CE">
        <w:rPr>
          <w:rFonts w:ascii="Times New Roman" w:hAnsi="Times New Roman" w:cs="Times New Roman"/>
          <w:sz w:val="28"/>
          <w:szCs w:val="28"/>
        </w:rPr>
        <w:t xml:space="preserve"> для дитини як у психоемоційному так і у фізичному сенсі. </w:t>
      </w:r>
    </w:p>
    <w:p w:rsidR="00F81A18" w:rsidRPr="008107CE" w:rsidRDefault="00F81A18" w:rsidP="00F81A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7CE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8107CE">
        <w:rPr>
          <w:rFonts w:ascii="Times New Roman" w:hAnsi="Times New Roman" w:cs="Times New Roman"/>
          <w:sz w:val="28"/>
          <w:szCs w:val="28"/>
        </w:rPr>
        <w:t xml:space="preserve"> «Медичний центр реабілітації учасників бойових дій Луцької МТГ» бере участь у програмі </w:t>
      </w:r>
      <w:proofErr w:type="spellStart"/>
      <w:r w:rsidRPr="008107CE">
        <w:rPr>
          <w:rFonts w:ascii="Times New Roman" w:hAnsi="Times New Roman" w:cs="Times New Roman"/>
          <w:sz w:val="28"/>
          <w:szCs w:val="28"/>
        </w:rPr>
        <w:t>Interreg</w:t>
      </w:r>
      <w:proofErr w:type="spellEnd"/>
      <w:r w:rsidRPr="008107CE">
        <w:rPr>
          <w:rFonts w:ascii="Times New Roman" w:hAnsi="Times New Roman" w:cs="Times New Roman"/>
          <w:sz w:val="28"/>
          <w:szCs w:val="28"/>
        </w:rPr>
        <w:t xml:space="preserve"> NEXT "Польща-Україна" 2021-2027 за пріоритетом «Здоров’я» та </w:t>
      </w:r>
      <w:proofErr w:type="spellStart"/>
      <w:r w:rsidRPr="008107C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8107CE">
        <w:rPr>
          <w:rFonts w:ascii="Times New Roman" w:hAnsi="Times New Roman" w:cs="Times New Roman"/>
          <w:sz w:val="28"/>
          <w:szCs w:val="28"/>
        </w:rPr>
        <w:t xml:space="preserve"> закладу «</w:t>
      </w:r>
      <w:proofErr w:type="spellStart"/>
      <w:r w:rsidRPr="008107CE">
        <w:rPr>
          <w:rFonts w:ascii="Times New Roman" w:hAnsi="Times New Roman" w:cs="Times New Roman"/>
          <w:sz w:val="28"/>
          <w:szCs w:val="28"/>
        </w:rPr>
        <w:t>Transcare</w:t>
      </w:r>
      <w:proofErr w:type="spellEnd"/>
      <w:r w:rsidRPr="008107CE">
        <w:rPr>
          <w:rFonts w:ascii="Times New Roman" w:hAnsi="Times New Roman" w:cs="Times New Roman"/>
          <w:sz w:val="28"/>
          <w:szCs w:val="28"/>
        </w:rPr>
        <w:t xml:space="preserve">: транскордонне співробітництво в галузі охорони здоров’я та паліативної допомоги» (№PLUA.02.01-IP.01-0002/23), пройшов відбір на отримання грантового фінансування. В рамках грантового проєкту </w:t>
      </w:r>
      <w:proofErr w:type="spellStart"/>
      <w:r w:rsidRPr="008107CE">
        <w:rPr>
          <w:rFonts w:ascii="Times New Roman" w:hAnsi="Times New Roman" w:cs="Times New Roman"/>
          <w:sz w:val="28"/>
          <w:szCs w:val="28"/>
        </w:rPr>
        <w:t>InterregNext</w:t>
      </w:r>
      <w:proofErr w:type="spellEnd"/>
      <w:r w:rsidRPr="008107CE">
        <w:rPr>
          <w:rFonts w:ascii="Times New Roman" w:hAnsi="Times New Roman" w:cs="Times New Roman"/>
          <w:sz w:val="28"/>
          <w:szCs w:val="28"/>
        </w:rPr>
        <w:t xml:space="preserve"> планується закупівля Інтерактивної лабораторії аналізу ходи в реальному часі.</w:t>
      </w:r>
      <w:r w:rsidR="00EB66B2">
        <w:rPr>
          <w:rFonts w:ascii="Times New Roman" w:hAnsi="Times New Roman" w:cs="Times New Roman"/>
          <w:sz w:val="28"/>
          <w:szCs w:val="28"/>
        </w:rPr>
        <w:t xml:space="preserve"> В 4-му кварталі заклад отримав 3,1 млн. грн грантових коштів на реалізацію проєкту.</w:t>
      </w:r>
    </w:p>
    <w:p w:rsidR="00F81A18" w:rsidRDefault="00F81A18" w:rsidP="00F81A18">
      <w:pPr>
        <w:pStyle w:val="a6"/>
        <w:tabs>
          <w:tab w:val="left" w:pos="284"/>
        </w:tabs>
        <w:spacing w:before="0" w:beforeAutospacing="0" w:after="0" w:afterAutospacing="0"/>
        <w:ind w:firstLine="436"/>
        <w:jc w:val="both"/>
        <w:rPr>
          <w:sz w:val="28"/>
          <w:szCs w:val="28"/>
          <w:lang w:val="uk-UA"/>
        </w:rPr>
      </w:pPr>
      <w:proofErr w:type="spellStart"/>
      <w:r w:rsidRPr="00751923">
        <w:rPr>
          <w:sz w:val="28"/>
          <w:szCs w:val="28"/>
          <w:lang w:val="uk-UA"/>
        </w:rPr>
        <w:t>КП</w:t>
      </w:r>
      <w:proofErr w:type="spellEnd"/>
      <w:r w:rsidRPr="00751923">
        <w:rPr>
          <w:sz w:val="28"/>
          <w:szCs w:val="28"/>
          <w:lang w:val="uk-UA"/>
        </w:rPr>
        <w:t xml:space="preserve"> «Луцька міська клінічна стоматологічна поліклініка» забезпечує надання послуг з терапевтичної стоматології, хірургічної стоматології, ортопедичної стоматології, ортодонтії дорослому населенню. Одним з пріоритетів функціонування закладу є соціальна спрямованість для незахищених верств населення. В поліклініці розпочали надавати нові послуги з </w:t>
      </w:r>
      <w:proofErr w:type="spellStart"/>
      <w:r w:rsidRPr="00751923">
        <w:rPr>
          <w:sz w:val="28"/>
          <w:szCs w:val="28"/>
          <w:lang w:val="uk-UA"/>
        </w:rPr>
        <w:t>ортодонтичного</w:t>
      </w:r>
      <w:proofErr w:type="spellEnd"/>
      <w:r w:rsidRPr="00751923">
        <w:rPr>
          <w:sz w:val="28"/>
          <w:szCs w:val="28"/>
          <w:lang w:val="uk-UA"/>
        </w:rPr>
        <w:t xml:space="preserve"> лікування, лікування зубів під мікроскопом, а також запрацював кабінет комп’ютерної томографії. </w:t>
      </w:r>
      <w:r w:rsidR="00751923" w:rsidRPr="00751923">
        <w:rPr>
          <w:sz w:val="28"/>
          <w:szCs w:val="28"/>
          <w:lang w:val="uk-UA"/>
        </w:rPr>
        <w:t xml:space="preserve">В червні звітного року </w:t>
      </w:r>
      <w:r w:rsidR="00751923">
        <w:rPr>
          <w:sz w:val="28"/>
          <w:szCs w:val="28"/>
          <w:lang w:val="uk-UA"/>
        </w:rPr>
        <w:t xml:space="preserve">заключний </w:t>
      </w:r>
      <w:r w:rsidR="00751923" w:rsidRPr="00751923">
        <w:rPr>
          <w:sz w:val="28"/>
          <w:szCs w:val="28"/>
          <w:lang w:val="uk-UA"/>
        </w:rPr>
        <w:t>договір між підприємством та НСЗУ про медичне обслуговування із зубопротезування окремих категорій осіб, які захищали незалежність, суверенітет та територіальну цілісність України</w:t>
      </w:r>
      <w:r w:rsidR="007E5509">
        <w:rPr>
          <w:sz w:val="28"/>
          <w:szCs w:val="28"/>
          <w:lang w:val="uk-UA"/>
        </w:rPr>
        <w:t xml:space="preserve"> </w:t>
      </w:r>
      <w:r w:rsidR="007E5509" w:rsidRPr="00142739">
        <w:rPr>
          <w:sz w:val="28"/>
          <w:szCs w:val="28"/>
          <w:lang w:val="uk-UA"/>
        </w:rPr>
        <w:t xml:space="preserve">(освоєно </w:t>
      </w:r>
      <w:r w:rsidR="002C7027" w:rsidRPr="00142739">
        <w:rPr>
          <w:sz w:val="28"/>
          <w:szCs w:val="28"/>
          <w:lang w:val="uk-UA"/>
        </w:rPr>
        <w:t xml:space="preserve">2 140,0 тис. грн, </w:t>
      </w:r>
      <w:proofErr w:type="spellStart"/>
      <w:r w:rsidR="002C7027" w:rsidRPr="00142739">
        <w:rPr>
          <w:sz w:val="28"/>
          <w:szCs w:val="28"/>
          <w:lang w:val="uk-UA"/>
        </w:rPr>
        <w:t>запротезовано</w:t>
      </w:r>
      <w:proofErr w:type="spellEnd"/>
      <w:r w:rsidR="002C7027" w:rsidRPr="00142739">
        <w:rPr>
          <w:sz w:val="28"/>
          <w:szCs w:val="28"/>
          <w:lang w:val="uk-UA"/>
        </w:rPr>
        <w:t xml:space="preserve"> та надано стоматологічну допомогу </w:t>
      </w:r>
      <w:r w:rsidR="00142739" w:rsidRPr="00142739">
        <w:rPr>
          <w:sz w:val="28"/>
          <w:szCs w:val="28"/>
          <w:lang w:val="uk-UA"/>
        </w:rPr>
        <w:t>623 особам</w:t>
      </w:r>
      <w:r w:rsidR="002C7027" w:rsidRPr="00142739">
        <w:rPr>
          <w:sz w:val="28"/>
          <w:szCs w:val="28"/>
          <w:lang w:val="uk-UA"/>
        </w:rPr>
        <w:t>)</w:t>
      </w:r>
      <w:r w:rsidR="00751923" w:rsidRPr="00142739">
        <w:rPr>
          <w:sz w:val="28"/>
          <w:szCs w:val="28"/>
          <w:lang w:val="uk-UA"/>
        </w:rPr>
        <w:t>.</w:t>
      </w:r>
      <w:r w:rsidR="00751923" w:rsidRPr="00751923">
        <w:rPr>
          <w:sz w:val="28"/>
          <w:szCs w:val="28"/>
          <w:lang w:val="uk-UA"/>
        </w:rPr>
        <w:t xml:space="preserve"> </w:t>
      </w:r>
      <w:r w:rsidRPr="00751923">
        <w:rPr>
          <w:sz w:val="28"/>
          <w:szCs w:val="28"/>
          <w:lang w:val="uk-UA"/>
        </w:rPr>
        <w:t>З 01.06.2024 організовано надання стоматологічної допомоги дитячому населенню.</w:t>
      </w:r>
    </w:p>
    <w:p w:rsidR="00C74F73" w:rsidRDefault="00C74F73" w:rsidP="00C74F73">
      <w:pPr>
        <w:pStyle w:val="a9"/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00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березні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2024 року </w:t>
      </w:r>
      <w:r w:rsidRPr="0072003E">
        <w:rPr>
          <w:rFonts w:ascii="Times New Roman" w:hAnsi="Times New Roman" w:cs="Times New Roman"/>
          <w:bCs/>
          <w:color w:val="auto"/>
          <w:sz w:val="28"/>
          <w:szCs w:val="28"/>
        </w:rPr>
        <w:t>група лікарів Медичного об’єднання здійснила виїзд на позиції ЗСУ на передовій</w:t>
      </w:r>
      <w:r w:rsidRPr="0072003E">
        <w:rPr>
          <w:rFonts w:ascii="Times New Roman" w:hAnsi="Times New Roman" w:cs="Times New Roman"/>
          <w:color w:val="auto"/>
          <w:sz w:val="28"/>
          <w:szCs w:val="28"/>
        </w:rPr>
        <w:t xml:space="preserve"> у районі м. Лиман для надання медичної допомоги військовим. Було </w:t>
      </w:r>
      <w:r w:rsidRPr="0072003E">
        <w:rPr>
          <w:rFonts w:ascii="Times New Roman" w:hAnsi="Times New Roman" w:cs="Times New Roman"/>
          <w:bCs/>
          <w:color w:val="auto"/>
          <w:sz w:val="28"/>
          <w:szCs w:val="28"/>
        </w:rPr>
        <w:t>оглянуто 190 бійців</w:t>
      </w:r>
      <w:r w:rsidRPr="0072003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C5D96">
        <w:rPr>
          <w:rFonts w:ascii="Times New Roman" w:hAnsi="Times New Roman" w:cs="Times New Roman"/>
          <w:color w:val="auto"/>
          <w:sz w:val="28"/>
          <w:szCs w:val="28"/>
        </w:rPr>
        <w:t xml:space="preserve"> проведено обстеження та призначено лікування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усунення </w:t>
      </w:r>
      <w:r w:rsidRPr="002C5D96">
        <w:rPr>
          <w:rFonts w:ascii="Times New Roman" w:hAnsi="Times New Roman" w:cs="Times New Roman"/>
          <w:color w:val="auto"/>
          <w:sz w:val="28"/>
          <w:szCs w:val="28"/>
        </w:rPr>
        <w:t>поточних проблем зі здоров’ям. Надано поради щодо збереження здоров’я у складних бойових умовах. Виявлено бійців з загостреннями хронічних захворювань, яких скеровано на подальше лікування. Проведено консультування військовослужбовців медичної роти лікарями функціональної діагностики щодо використання наявного діагностичного обладнання.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Також персонал закладу залучається до роботи у Луцькому військовому гарнізонному шпиталю. Крім того, підприємством передано військовій частині мобільний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рентгенапарат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отриманий закладом у якості благодійної допомоги.</w:t>
      </w:r>
    </w:p>
    <w:p w:rsidR="00C74F73" w:rsidRDefault="00C74F73" w:rsidP="00C74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FA0">
        <w:rPr>
          <w:rFonts w:ascii="Times New Roman" w:hAnsi="Times New Roman" w:cs="Times New Roman"/>
          <w:sz w:val="28"/>
          <w:szCs w:val="28"/>
        </w:rPr>
        <w:t xml:space="preserve">Працівниками </w:t>
      </w:r>
      <w:proofErr w:type="spellStart"/>
      <w:r w:rsidRPr="00A43FA0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A43FA0">
        <w:rPr>
          <w:rFonts w:ascii="Times New Roman" w:hAnsi="Times New Roman" w:cs="Times New Roman"/>
          <w:sz w:val="28"/>
          <w:szCs w:val="28"/>
        </w:rPr>
        <w:t xml:space="preserve"> «МЦРУБДЛМТГ» за 2024 рік було зібрано коштів у розмірі більше 200 тис.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Pr="00A43FA0">
        <w:rPr>
          <w:rFonts w:ascii="Times New Roman" w:hAnsi="Times New Roman" w:cs="Times New Roman"/>
          <w:sz w:val="28"/>
          <w:szCs w:val="28"/>
        </w:rPr>
        <w:t xml:space="preserve"> та передано на потреби Сил оборони у вигляді: коштів для закупівлі медичних нош для евакуації військових з зони бойових дій, пального, ліків (</w:t>
      </w:r>
      <w:proofErr w:type="spellStart"/>
      <w:r w:rsidRPr="00A43FA0">
        <w:rPr>
          <w:rFonts w:ascii="Times New Roman" w:hAnsi="Times New Roman" w:cs="Times New Roman"/>
          <w:sz w:val="28"/>
          <w:szCs w:val="28"/>
        </w:rPr>
        <w:t>протизастудн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засоби, протигрибкові засоби </w:t>
      </w:r>
      <w:r w:rsidRPr="00A43FA0">
        <w:rPr>
          <w:rFonts w:ascii="Times New Roman" w:hAnsi="Times New Roman" w:cs="Times New Roman"/>
          <w:sz w:val="28"/>
          <w:szCs w:val="28"/>
        </w:rPr>
        <w:t>та ін.), медичних виробів, санітарно-гігієнічних виробів, шин для автомобілів, господарських засобів, акумуляторів та ін.</w:t>
      </w:r>
    </w:p>
    <w:p w:rsidR="00BA3E13" w:rsidRDefault="00BA3E13" w:rsidP="00BA3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0335">
        <w:rPr>
          <w:rFonts w:ascii="Times New Roman" w:hAnsi="Times New Roman" w:cs="Times New Roman"/>
          <w:sz w:val="28"/>
          <w:szCs w:val="28"/>
        </w:rPr>
        <w:t xml:space="preserve">Результативність роботи комунальних підприємств охорони </w:t>
      </w:r>
      <w:proofErr w:type="spellStart"/>
      <w:r w:rsidRPr="00630335">
        <w:rPr>
          <w:rFonts w:ascii="Times New Roman" w:hAnsi="Times New Roman" w:cs="Times New Roman"/>
          <w:sz w:val="28"/>
          <w:szCs w:val="28"/>
        </w:rPr>
        <w:t>здоров’</w:t>
      </w:r>
      <w:proofErr w:type="spellEnd"/>
      <w:r w:rsidRPr="00630335">
        <w:rPr>
          <w:rFonts w:ascii="Times New Roman" w:hAnsi="Times New Roman" w:cs="Times New Roman"/>
          <w:sz w:val="28"/>
          <w:szCs w:val="28"/>
          <w:lang w:val="ru-RU"/>
        </w:rPr>
        <w:t>я у</w:t>
      </w:r>
      <w:r w:rsidR="00630335">
        <w:rPr>
          <w:rFonts w:ascii="Times New Roman" w:hAnsi="Times New Roman" w:cs="Times New Roman"/>
          <w:sz w:val="28"/>
          <w:szCs w:val="28"/>
          <w:lang w:val="ru-RU"/>
        </w:rPr>
        <w:t xml:space="preserve"> 2024</w:t>
      </w:r>
      <w:r w:rsidRPr="006303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0335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6303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0335">
        <w:rPr>
          <w:rFonts w:ascii="Times New Roman" w:hAnsi="Times New Roman" w:cs="Times New Roman"/>
          <w:sz w:val="28"/>
          <w:szCs w:val="28"/>
          <w:lang w:val="ru-RU"/>
        </w:rPr>
        <w:t>характеризується</w:t>
      </w:r>
      <w:proofErr w:type="spellEnd"/>
      <w:r w:rsidRPr="006303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0335">
        <w:rPr>
          <w:rFonts w:ascii="Times New Roman" w:hAnsi="Times New Roman" w:cs="Times New Roman"/>
          <w:sz w:val="28"/>
          <w:szCs w:val="28"/>
          <w:lang w:val="ru-RU"/>
        </w:rPr>
        <w:t>наступними</w:t>
      </w:r>
      <w:proofErr w:type="spellEnd"/>
      <w:r w:rsidRPr="006303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0335">
        <w:rPr>
          <w:rFonts w:ascii="Times New Roman" w:hAnsi="Times New Roman" w:cs="Times New Roman"/>
          <w:sz w:val="28"/>
          <w:szCs w:val="28"/>
          <w:lang w:val="ru-RU"/>
        </w:rPr>
        <w:t>чинниками</w:t>
      </w:r>
      <w:proofErr w:type="spellEnd"/>
      <w:r w:rsidRPr="0063033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74F73" w:rsidRDefault="00C74F73" w:rsidP="00BA3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4F73" w:rsidRDefault="00C74F73" w:rsidP="00BA3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70FA" w:rsidRDefault="006870FA" w:rsidP="00BA3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70FA" w:rsidRDefault="006870FA" w:rsidP="006870FA">
      <w:pPr>
        <w:pStyle w:val="a3"/>
        <w:numPr>
          <w:ilvl w:val="0"/>
          <w:numId w:val="24"/>
        </w:numPr>
        <w:jc w:val="both"/>
        <w:rPr>
          <w:b/>
          <w:color w:val="984806" w:themeColor="accent6" w:themeShade="80"/>
          <w:sz w:val="28"/>
          <w:szCs w:val="28"/>
          <w:u w:val="single"/>
          <w:lang w:val="uk-UA"/>
        </w:rPr>
      </w:pPr>
      <w:r>
        <w:rPr>
          <w:b/>
          <w:color w:val="984806" w:themeColor="accent6" w:themeShade="80"/>
          <w:sz w:val="28"/>
          <w:szCs w:val="28"/>
          <w:u w:val="single"/>
          <w:lang w:val="uk-UA"/>
        </w:rPr>
        <w:t>Статистичні показники надання медичної допомоги</w:t>
      </w:r>
    </w:p>
    <w:p w:rsidR="0096263F" w:rsidRDefault="0096263F" w:rsidP="0096263F">
      <w:pPr>
        <w:pStyle w:val="a3"/>
        <w:ind w:left="786"/>
        <w:jc w:val="both"/>
        <w:rPr>
          <w:b/>
          <w:color w:val="984806" w:themeColor="accent6" w:themeShade="80"/>
          <w:sz w:val="28"/>
          <w:szCs w:val="28"/>
          <w:u w:val="single"/>
          <w:lang w:val="uk-UA"/>
        </w:rPr>
      </w:pPr>
    </w:p>
    <w:p w:rsidR="006870FA" w:rsidRDefault="006870FA" w:rsidP="006870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F64D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За звітний рік:</w:t>
      </w:r>
    </w:p>
    <w:p w:rsidR="0096263F" w:rsidRPr="005F64D7" w:rsidRDefault="0096263F" w:rsidP="006870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6870FA" w:rsidRPr="00C10B9A" w:rsidRDefault="006870FA" w:rsidP="00C10B9A">
      <w:pPr>
        <w:pStyle w:val="a3"/>
        <w:numPr>
          <w:ilvl w:val="0"/>
          <w:numId w:val="25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C6D9F">
        <w:rPr>
          <w:sz w:val="28"/>
          <w:szCs w:val="28"/>
          <w:shd w:val="clear" w:color="auto" w:fill="FFFFFF"/>
          <w:lang w:val="uk-UA"/>
        </w:rPr>
        <w:t xml:space="preserve">проліковано в стаціонарах пацієнтів </w:t>
      </w:r>
      <w:r w:rsidR="00C10B9A">
        <w:rPr>
          <w:sz w:val="28"/>
          <w:szCs w:val="28"/>
          <w:shd w:val="clear" w:color="auto" w:fill="FFFFFF"/>
          <w:lang w:val="uk-UA"/>
        </w:rPr>
        <w:t>–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C10B9A">
        <w:rPr>
          <w:sz w:val="28"/>
          <w:szCs w:val="28"/>
          <w:shd w:val="clear" w:color="auto" w:fill="FFFFFF"/>
          <w:lang w:val="uk-UA"/>
        </w:rPr>
        <w:t>31 019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4C6D9F">
        <w:rPr>
          <w:sz w:val="28"/>
          <w:szCs w:val="28"/>
          <w:shd w:val="clear" w:color="auto" w:fill="FFFFFF"/>
          <w:lang w:val="uk-UA"/>
        </w:rPr>
        <w:t>(2022 рік - 26</w:t>
      </w:r>
      <w:r w:rsidR="00513955">
        <w:rPr>
          <w:sz w:val="28"/>
          <w:szCs w:val="28"/>
          <w:shd w:val="clear" w:color="auto" w:fill="FFFFFF"/>
        </w:rPr>
        <w:t> </w:t>
      </w:r>
      <w:r w:rsidRPr="004C6D9F">
        <w:rPr>
          <w:sz w:val="28"/>
          <w:szCs w:val="28"/>
          <w:shd w:val="clear" w:color="auto" w:fill="FFFFFF"/>
          <w:lang w:val="uk-UA"/>
        </w:rPr>
        <w:t>682</w:t>
      </w:r>
      <w:r w:rsidR="00513955">
        <w:rPr>
          <w:sz w:val="28"/>
          <w:szCs w:val="28"/>
          <w:shd w:val="clear" w:color="auto" w:fill="FFFFFF"/>
          <w:lang w:val="uk-UA"/>
        </w:rPr>
        <w:t>,</w:t>
      </w:r>
      <w:r w:rsidR="00C10B9A">
        <w:rPr>
          <w:sz w:val="28"/>
          <w:szCs w:val="28"/>
          <w:shd w:val="clear" w:color="auto" w:fill="FFFFFF"/>
          <w:lang w:val="uk-UA"/>
        </w:rPr>
        <w:t xml:space="preserve"> 2023 рік – 27 934</w:t>
      </w:r>
      <w:r w:rsidRPr="004C6D9F">
        <w:rPr>
          <w:sz w:val="28"/>
          <w:szCs w:val="28"/>
          <w:shd w:val="clear" w:color="auto" w:fill="FFFFFF"/>
          <w:lang w:val="uk-UA"/>
        </w:rPr>
        <w:t>)</w:t>
      </w:r>
      <w:r w:rsidR="00C10B9A">
        <w:rPr>
          <w:sz w:val="28"/>
          <w:szCs w:val="28"/>
          <w:shd w:val="clear" w:color="auto" w:fill="FFFFFF"/>
          <w:lang w:val="uk-UA"/>
        </w:rPr>
        <w:t>,</w:t>
      </w:r>
      <w:r w:rsidR="00C10B9A">
        <w:rPr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C10B9A" w:rsidRPr="00C10B9A">
        <w:rPr>
          <w:sz w:val="28"/>
          <w:szCs w:val="28"/>
          <w:shd w:val="clear" w:color="auto" w:fill="FFFFFF"/>
          <w:lang w:val="uk-UA"/>
        </w:rPr>
        <w:t>в тому числі військовослужбовців – 2</w:t>
      </w:r>
      <w:r w:rsidR="00C10B9A" w:rsidRPr="00C10B9A">
        <w:rPr>
          <w:sz w:val="28"/>
          <w:szCs w:val="28"/>
          <w:shd w:val="clear" w:color="auto" w:fill="FFFFFF"/>
        </w:rPr>
        <w:t> </w:t>
      </w:r>
      <w:r w:rsidR="00F70C64">
        <w:rPr>
          <w:sz w:val="28"/>
          <w:szCs w:val="28"/>
          <w:shd w:val="clear" w:color="auto" w:fill="FFFFFF"/>
          <w:lang w:val="uk-UA"/>
        </w:rPr>
        <w:t>222</w:t>
      </w:r>
      <w:r w:rsidRPr="00C10B9A">
        <w:rPr>
          <w:sz w:val="28"/>
          <w:szCs w:val="28"/>
          <w:shd w:val="clear" w:color="auto" w:fill="FFFFFF"/>
          <w:lang w:val="uk-UA"/>
        </w:rPr>
        <w:t>;</w:t>
      </w:r>
    </w:p>
    <w:p w:rsidR="006870FA" w:rsidRDefault="006870FA" w:rsidP="006870FA">
      <w:pPr>
        <w:pStyle w:val="a3"/>
        <w:numPr>
          <w:ilvl w:val="0"/>
          <w:numId w:val="25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C6D9F">
        <w:rPr>
          <w:sz w:val="28"/>
          <w:szCs w:val="28"/>
          <w:shd w:val="clear" w:color="auto" w:fill="FFFFFF"/>
          <w:lang w:val="uk-UA"/>
        </w:rPr>
        <w:t xml:space="preserve">кількість відвідувань в амбулаторно-поліклінічних умовах – </w:t>
      </w:r>
      <w:r w:rsidR="0053744F" w:rsidRPr="0053744F">
        <w:rPr>
          <w:b/>
          <w:sz w:val="28"/>
          <w:szCs w:val="28"/>
          <w:shd w:val="clear" w:color="auto" w:fill="FFFFFF"/>
          <w:lang w:val="uk-UA"/>
        </w:rPr>
        <w:t>1 331 593</w:t>
      </w:r>
      <w:r>
        <w:rPr>
          <w:sz w:val="28"/>
          <w:szCs w:val="28"/>
          <w:shd w:val="clear" w:color="auto" w:fill="FFFFFF"/>
          <w:lang w:val="uk-UA"/>
        </w:rPr>
        <w:t xml:space="preserve"> (2022 рік - </w:t>
      </w:r>
      <w:r w:rsidRPr="004C6D9F">
        <w:rPr>
          <w:sz w:val="28"/>
          <w:szCs w:val="28"/>
          <w:shd w:val="clear" w:color="auto" w:fill="FFFFFF"/>
          <w:lang w:val="uk-UA"/>
        </w:rPr>
        <w:t>1</w:t>
      </w:r>
      <w:r w:rsidRPr="004C6D9F">
        <w:rPr>
          <w:sz w:val="28"/>
          <w:szCs w:val="28"/>
          <w:shd w:val="clear" w:color="auto" w:fill="FFFFFF"/>
        </w:rPr>
        <w:t> </w:t>
      </w:r>
      <w:r w:rsidRPr="004C6D9F">
        <w:rPr>
          <w:sz w:val="28"/>
          <w:szCs w:val="28"/>
          <w:shd w:val="clear" w:color="auto" w:fill="FFFFFF"/>
          <w:lang w:val="uk-UA"/>
        </w:rPr>
        <w:t>203</w:t>
      </w:r>
      <w:r w:rsidR="007E5509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371</w:t>
      </w:r>
      <w:r w:rsidR="007E5509">
        <w:rPr>
          <w:sz w:val="28"/>
          <w:szCs w:val="28"/>
          <w:shd w:val="clear" w:color="auto" w:fill="FFFFFF"/>
          <w:lang w:val="uk-UA"/>
        </w:rPr>
        <w:t xml:space="preserve">, 2023 рік - </w:t>
      </w:r>
      <w:r w:rsidR="007E5509" w:rsidRPr="007E5509">
        <w:rPr>
          <w:sz w:val="28"/>
          <w:szCs w:val="28"/>
          <w:shd w:val="clear" w:color="auto" w:fill="FFFFFF"/>
          <w:lang w:val="uk-UA"/>
        </w:rPr>
        <w:t>1 346 222</w:t>
      </w:r>
      <w:r>
        <w:rPr>
          <w:sz w:val="28"/>
          <w:szCs w:val="28"/>
          <w:shd w:val="clear" w:color="auto" w:fill="FFFFFF"/>
          <w:lang w:val="uk-UA"/>
        </w:rPr>
        <w:t>);</w:t>
      </w:r>
    </w:p>
    <w:p w:rsidR="000547E8" w:rsidRDefault="000547E8" w:rsidP="006870FA">
      <w:pPr>
        <w:pStyle w:val="a3"/>
        <w:numPr>
          <w:ilvl w:val="0"/>
          <w:numId w:val="25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в </w:t>
      </w:r>
      <w:proofErr w:type="spellStart"/>
      <w:r>
        <w:rPr>
          <w:sz w:val="28"/>
          <w:szCs w:val="28"/>
          <w:shd w:val="clear" w:color="auto" w:fill="FFFFFF"/>
          <w:lang w:val="uk-UA"/>
        </w:rPr>
        <w:t>КП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«Медичний центр реабілітації учасників бойових дій Луцької міської територіальної громади» пройшли реабілі</w:t>
      </w:r>
      <w:r w:rsidR="00527EB6">
        <w:rPr>
          <w:sz w:val="28"/>
          <w:szCs w:val="28"/>
          <w:shd w:val="clear" w:color="auto" w:fill="FFFFFF"/>
          <w:lang w:val="uk-UA"/>
        </w:rPr>
        <w:t xml:space="preserve">тацію 6539 осіб, з них 797 діючих </w:t>
      </w:r>
      <w:proofErr w:type="spellStart"/>
      <w:r w:rsidR="00527EB6">
        <w:rPr>
          <w:sz w:val="28"/>
          <w:szCs w:val="28"/>
          <w:shd w:val="clear" w:color="auto" w:fill="FFFFFF"/>
          <w:lang w:val="uk-UA"/>
        </w:rPr>
        <w:t>військо</w:t>
      </w:r>
      <w:r>
        <w:rPr>
          <w:sz w:val="28"/>
          <w:szCs w:val="28"/>
          <w:shd w:val="clear" w:color="auto" w:fill="FFFFFF"/>
          <w:lang w:val="uk-UA"/>
        </w:rPr>
        <w:t>службовці</w:t>
      </w:r>
      <w:r w:rsidR="00527EB6">
        <w:rPr>
          <w:sz w:val="28"/>
          <w:szCs w:val="28"/>
          <w:shd w:val="clear" w:color="auto" w:fill="FFFFFF"/>
          <w:lang w:val="uk-UA"/>
        </w:rPr>
        <w:t>в</w:t>
      </w:r>
      <w:proofErr w:type="spellEnd"/>
      <w:r>
        <w:rPr>
          <w:sz w:val="28"/>
          <w:szCs w:val="28"/>
          <w:shd w:val="clear" w:color="auto" w:fill="FFFFFF"/>
          <w:lang w:val="uk-UA"/>
        </w:rPr>
        <w:t>, 582 члени сімей учасників бойових дій та військовослужбовців, 404 учасники бойових дій, 120 інвалідів війни.</w:t>
      </w:r>
    </w:p>
    <w:p w:rsidR="006870FA" w:rsidRDefault="006870FA" w:rsidP="006870FA">
      <w:pPr>
        <w:pStyle w:val="a3"/>
        <w:numPr>
          <w:ilvl w:val="0"/>
          <w:numId w:val="25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</w:t>
      </w:r>
      <w:r w:rsidRPr="004C6D9F">
        <w:rPr>
          <w:sz w:val="28"/>
          <w:szCs w:val="28"/>
          <w:shd w:val="clear" w:color="auto" w:fill="FFFFFF"/>
        </w:rPr>
        <w:t xml:space="preserve"> КП «</w:t>
      </w:r>
      <w:proofErr w:type="spellStart"/>
      <w:r w:rsidRPr="004C6D9F">
        <w:rPr>
          <w:sz w:val="28"/>
          <w:szCs w:val="28"/>
          <w:shd w:val="clear" w:color="auto" w:fill="FFFFFF"/>
        </w:rPr>
        <w:t>Луцький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C6D9F">
        <w:rPr>
          <w:sz w:val="28"/>
          <w:szCs w:val="28"/>
          <w:shd w:val="clear" w:color="auto" w:fill="FFFFFF"/>
        </w:rPr>
        <w:t>клінічний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C6D9F">
        <w:rPr>
          <w:sz w:val="28"/>
          <w:szCs w:val="28"/>
          <w:shd w:val="clear" w:color="auto" w:fill="FFFFFF"/>
        </w:rPr>
        <w:t>пологовий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C6D9F">
        <w:rPr>
          <w:sz w:val="28"/>
          <w:szCs w:val="28"/>
          <w:shd w:val="clear" w:color="auto" w:fill="FFFFFF"/>
        </w:rPr>
        <w:t>будинок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4C6D9F">
        <w:rPr>
          <w:sz w:val="28"/>
          <w:szCs w:val="28"/>
          <w:shd w:val="clear" w:color="auto" w:fill="FFFFFF"/>
        </w:rPr>
        <w:t>прийнято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C6D9F">
        <w:rPr>
          <w:sz w:val="28"/>
          <w:szCs w:val="28"/>
          <w:shd w:val="clear" w:color="auto" w:fill="FFFFFF"/>
        </w:rPr>
        <w:t>пологів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 </w:t>
      </w:r>
      <w:r w:rsidRPr="005F64D7">
        <w:rPr>
          <w:b/>
          <w:sz w:val="28"/>
          <w:szCs w:val="28"/>
          <w:shd w:val="clear" w:color="auto" w:fill="FFFFFF"/>
        </w:rPr>
        <w:t>1 1</w:t>
      </w:r>
      <w:r w:rsidR="00B36FA9">
        <w:rPr>
          <w:b/>
          <w:sz w:val="28"/>
          <w:szCs w:val="28"/>
          <w:shd w:val="clear" w:color="auto" w:fill="FFFFFF"/>
          <w:lang w:val="uk-UA"/>
        </w:rPr>
        <w:t>45</w:t>
      </w:r>
      <w:r w:rsidRPr="004C6D9F">
        <w:rPr>
          <w:sz w:val="28"/>
          <w:szCs w:val="28"/>
          <w:shd w:val="clear" w:color="auto" w:fill="FFFFFF"/>
        </w:rPr>
        <w:t xml:space="preserve"> (2022 </w:t>
      </w:r>
      <w:proofErr w:type="spellStart"/>
      <w:r w:rsidRPr="004C6D9F">
        <w:rPr>
          <w:sz w:val="28"/>
          <w:szCs w:val="28"/>
          <w:shd w:val="clear" w:color="auto" w:fill="FFFFFF"/>
        </w:rPr>
        <w:t>рік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 – 1220</w:t>
      </w:r>
      <w:r w:rsidR="00B36FA9">
        <w:rPr>
          <w:sz w:val="28"/>
          <w:szCs w:val="28"/>
          <w:shd w:val="clear" w:color="auto" w:fill="FFFFFF"/>
          <w:lang w:val="uk-UA"/>
        </w:rPr>
        <w:t>, 2023 рік - 1159</w:t>
      </w:r>
      <w:r w:rsidRPr="004C6D9F">
        <w:rPr>
          <w:sz w:val="28"/>
          <w:szCs w:val="28"/>
          <w:shd w:val="clear" w:color="auto" w:fill="FFFFFF"/>
        </w:rPr>
        <w:t xml:space="preserve">), народилось </w:t>
      </w:r>
      <w:proofErr w:type="spellStart"/>
      <w:r w:rsidRPr="004C6D9F">
        <w:rPr>
          <w:sz w:val="28"/>
          <w:szCs w:val="28"/>
          <w:shd w:val="clear" w:color="auto" w:fill="FFFFFF"/>
        </w:rPr>
        <w:t>дітей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-</w:t>
      </w:r>
      <w:r w:rsidRPr="004C6D9F">
        <w:rPr>
          <w:sz w:val="28"/>
          <w:szCs w:val="28"/>
          <w:shd w:val="clear" w:color="auto" w:fill="FFFFFF"/>
        </w:rPr>
        <w:t xml:space="preserve"> </w:t>
      </w:r>
      <w:r w:rsidR="00743C87" w:rsidRPr="00743C87">
        <w:rPr>
          <w:b/>
          <w:sz w:val="28"/>
          <w:szCs w:val="28"/>
          <w:shd w:val="clear" w:color="auto" w:fill="FFFFFF"/>
          <w:lang w:val="uk-UA"/>
        </w:rPr>
        <w:t>1154</w:t>
      </w:r>
      <w:r w:rsidRPr="005F64D7">
        <w:rPr>
          <w:b/>
          <w:sz w:val="28"/>
          <w:szCs w:val="28"/>
          <w:shd w:val="clear" w:color="auto" w:fill="FFFFFF"/>
        </w:rPr>
        <w:t xml:space="preserve"> </w:t>
      </w:r>
      <w:r w:rsidRPr="004C6D9F">
        <w:rPr>
          <w:sz w:val="28"/>
          <w:szCs w:val="28"/>
          <w:shd w:val="clear" w:color="auto" w:fill="FFFFFF"/>
        </w:rPr>
        <w:t xml:space="preserve">(2022 </w:t>
      </w:r>
      <w:proofErr w:type="spellStart"/>
      <w:r w:rsidRPr="004C6D9F">
        <w:rPr>
          <w:sz w:val="28"/>
          <w:szCs w:val="28"/>
          <w:shd w:val="clear" w:color="auto" w:fill="FFFFFF"/>
        </w:rPr>
        <w:t>рік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 – 1129</w:t>
      </w:r>
      <w:r w:rsidR="00B36FA9">
        <w:rPr>
          <w:sz w:val="28"/>
          <w:szCs w:val="28"/>
          <w:shd w:val="clear" w:color="auto" w:fill="FFFFFF"/>
          <w:lang w:val="uk-UA"/>
        </w:rPr>
        <w:t>, 2023 рік - 1169</w:t>
      </w:r>
      <w:r w:rsidRPr="004C6D9F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  <w:lang w:val="uk-UA"/>
        </w:rPr>
        <w:t>;</w:t>
      </w:r>
    </w:p>
    <w:p w:rsidR="006870FA" w:rsidRDefault="006870FA" w:rsidP="006870FA">
      <w:pPr>
        <w:pStyle w:val="a3"/>
        <w:numPr>
          <w:ilvl w:val="0"/>
          <w:numId w:val="25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н</w:t>
      </w:r>
      <w:proofErr w:type="spellStart"/>
      <w:r w:rsidRPr="004C6D9F">
        <w:rPr>
          <w:sz w:val="28"/>
          <w:szCs w:val="28"/>
          <w:shd w:val="clear" w:color="auto" w:fill="FFFFFF"/>
        </w:rPr>
        <w:t>адано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, за </w:t>
      </w:r>
      <w:proofErr w:type="spellStart"/>
      <w:r w:rsidRPr="004C6D9F">
        <w:rPr>
          <w:sz w:val="28"/>
          <w:szCs w:val="28"/>
          <w:shd w:val="clear" w:color="auto" w:fill="FFFFFF"/>
        </w:rPr>
        <w:t>кількістю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C6D9F">
        <w:rPr>
          <w:sz w:val="28"/>
          <w:szCs w:val="28"/>
          <w:shd w:val="clear" w:color="auto" w:fill="FFFFFF"/>
        </w:rPr>
        <w:t>звернень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C6D9F">
        <w:rPr>
          <w:sz w:val="28"/>
          <w:szCs w:val="28"/>
          <w:shd w:val="clear" w:color="auto" w:fill="FFFFFF"/>
        </w:rPr>
        <w:t>медичної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C6D9F">
        <w:rPr>
          <w:sz w:val="28"/>
          <w:szCs w:val="28"/>
          <w:shd w:val="clear" w:color="auto" w:fill="FFFFFF"/>
        </w:rPr>
        <w:t>допомоги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 </w:t>
      </w:r>
      <w:r w:rsidR="00B36FA9">
        <w:rPr>
          <w:b/>
          <w:sz w:val="28"/>
          <w:szCs w:val="28"/>
          <w:shd w:val="clear" w:color="auto" w:fill="FFFFFF"/>
        </w:rPr>
        <w:t>1</w:t>
      </w:r>
      <w:r w:rsidR="00B36FA9">
        <w:rPr>
          <w:b/>
          <w:sz w:val="28"/>
          <w:szCs w:val="28"/>
          <w:shd w:val="clear" w:color="auto" w:fill="FFFFFF"/>
          <w:lang w:val="uk-UA"/>
        </w:rPr>
        <w:t>1 921</w:t>
      </w:r>
      <w:r w:rsidRPr="005F64D7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C6D9F">
        <w:rPr>
          <w:sz w:val="28"/>
          <w:szCs w:val="28"/>
          <w:shd w:val="clear" w:color="auto" w:fill="FFFFFF"/>
        </w:rPr>
        <w:t>внутрішньо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C6D9F">
        <w:rPr>
          <w:sz w:val="28"/>
          <w:szCs w:val="28"/>
          <w:shd w:val="clear" w:color="auto" w:fill="FFFFFF"/>
        </w:rPr>
        <w:t>переміщеним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 особам (2022 </w:t>
      </w:r>
      <w:proofErr w:type="spellStart"/>
      <w:r w:rsidRPr="004C6D9F">
        <w:rPr>
          <w:sz w:val="28"/>
          <w:szCs w:val="28"/>
          <w:shd w:val="clear" w:color="auto" w:fill="FFFFFF"/>
        </w:rPr>
        <w:t>рік</w:t>
      </w:r>
      <w:proofErr w:type="spellEnd"/>
      <w:r w:rsidRPr="004C6D9F">
        <w:rPr>
          <w:sz w:val="28"/>
          <w:szCs w:val="28"/>
          <w:shd w:val="clear" w:color="auto" w:fill="FFFFFF"/>
        </w:rPr>
        <w:t xml:space="preserve"> - 19</w:t>
      </w:r>
      <w:r w:rsidR="00B36FA9">
        <w:rPr>
          <w:sz w:val="28"/>
          <w:szCs w:val="28"/>
          <w:shd w:val="clear" w:color="auto" w:fill="FFFFFF"/>
        </w:rPr>
        <w:t> </w:t>
      </w:r>
      <w:r w:rsidRPr="004C6D9F">
        <w:rPr>
          <w:sz w:val="28"/>
          <w:szCs w:val="28"/>
          <w:shd w:val="clear" w:color="auto" w:fill="FFFFFF"/>
        </w:rPr>
        <w:t>730</w:t>
      </w:r>
      <w:r w:rsidR="00B36FA9">
        <w:rPr>
          <w:sz w:val="28"/>
          <w:szCs w:val="28"/>
          <w:shd w:val="clear" w:color="auto" w:fill="FFFFFF"/>
          <w:lang w:val="uk-UA"/>
        </w:rPr>
        <w:t>, 2023 – 15 710</w:t>
      </w:r>
      <w:r w:rsidRPr="004C6D9F">
        <w:rPr>
          <w:sz w:val="28"/>
          <w:szCs w:val="28"/>
          <w:shd w:val="clear" w:color="auto" w:fill="FFFFFF"/>
        </w:rPr>
        <w:t xml:space="preserve">). </w:t>
      </w:r>
    </w:p>
    <w:p w:rsidR="0096263F" w:rsidRDefault="0096263F" w:rsidP="0096263F">
      <w:pPr>
        <w:pStyle w:val="a3"/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6870FA" w:rsidRPr="006E2150" w:rsidRDefault="006870FA" w:rsidP="0068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Продовжувалось проведення планових профілактичних щеплень. </w:t>
      </w:r>
    </w:p>
    <w:p w:rsidR="00A862DF" w:rsidRPr="00A862DF" w:rsidRDefault="00A862DF" w:rsidP="00A862DF">
      <w:pPr>
        <w:pStyle w:val="a6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 w:rsidRPr="00A862DF">
        <w:rPr>
          <w:sz w:val="28"/>
          <w:szCs w:val="28"/>
          <w:shd w:val="clear" w:color="auto" w:fill="FFFFFF"/>
          <w:lang w:val="uk-UA"/>
        </w:rPr>
        <w:t xml:space="preserve">За даними аналізу планових показників вакцинації у 2024 році </w:t>
      </w:r>
      <w:r w:rsidRPr="00A862DF">
        <w:rPr>
          <w:sz w:val="28"/>
          <w:szCs w:val="28"/>
          <w:lang w:val="uk-UA"/>
        </w:rPr>
        <w:t>спостерігається зниження показників охоплення вакцинацією, зокрема від:</w:t>
      </w:r>
      <w:r w:rsidRPr="00A862DF">
        <w:rPr>
          <w:i/>
          <w:sz w:val="28"/>
          <w:szCs w:val="28"/>
          <w:lang w:val="uk-UA"/>
        </w:rPr>
        <w:t>поліомієліту</w:t>
      </w:r>
      <w:r w:rsidRPr="00A862DF">
        <w:rPr>
          <w:sz w:val="28"/>
          <w:szCs w:val="28"/>
          <w:lang w:val="uk-UA"/>
        </w:rPr>
        <w:t xml:space="preserve"> (</w:t>
      </w:r>
      <w:proofErr w:type="spellStart"/>
      <w:r w:rsidRPr="00A862DF">
        <w:rPr>
          <w:sz w:val="28"/>
          <w:szCs w:val="28"/>
          <w:lang w:val="uk-UA"/>
        </w:rPr>
        <w:t>поліо</w:t>
      </w:r>
      <w:proofErr w:type="spellEnd"/>
      <w:r w:rsidRPr="00A862DF">
        <w:rPr>
          <w:sz w:val="28"/>
          <w:szCs w:val="28"/>
          <w:lang w:val="uk-UA"/>
        </w:rPr>
        <w:t xml:space="preserve">(3)-90,4%; </w:t>
      </w:r>
      <w:proofErr w:type="spellStart"/>
      <w:r w:rsidRPr="00A862DF">
        <w:rPr>
          <w:sz w:val="28"/>
          <w:szCs w:val="28"/>
          <w:lang w:val="uk-UA"/>
        </w:rPr>
        <w:t>поліо</w:t>
      </w:r>
      <w:proofErr w:type="spellEnd"/>
      <w:r w:rsidRPr="00A862DF">
        <w:rPr>
          <w:sz w:val="28"/>
          <w:szCs w:val="28"/>
          <w:lang w:val="uk-UA"/>
        </w:rPr>
        <w:t xml:space="preserve">(4)-76,6%; </w:t>
      </w:r>
      <w:proofErr w:type="spellStart"/>
      <w:r w:rsidRPr="00A862DF">
        <w:rPr>
          <w:sz w:val="28"/>
          <w:szCs w:val="28"/>
          <w:lang w:val="uk-UA"/>
        </w:rPr>
        <w:t>поліо</w:t>
      </w:r>
      <w:proofErr w:type="spellEnd"/>
      <w:r w:rsidRPr="00A862DF">
        <w:rPr>
          <w:sz w:val="28"/>
          <w:szCs w:val="28"/>
          <w:lang w:val="uk-UA"/>
        </w:rPr>
        <w:t xml:space="preserve">(5)-56,4%; </w:t>
      </w:r>
      <w:proofErr w:type="spellStart"/>
      <w:r w:rsidRPr="00A862DF">
        <w:rPr>
          <w:sz w:val="28"/>
          <w:szCs w:val="28"/>
          <w:lang w:val="uk-UA"/>
        </w:rPr>
        <w:t>поліо</w:t>
      </w:r>
      <w:proofErr w:type="spellEnd"/>
      <w:r w:rsidRPr="00A862DF">
        <w:rPr>
          <w:sz w:val="28"/>
          <w:szCs w:val="28"/>
          <w:lang w:val="uk-UA"/>
        </w:rPr>
        <w:t>(6)-61,3%</w:t>
      </w:r>
      <w:r>
        <w:rPr>
          <w:sz w:val="28"/>
          <w:szCs w:val="28"/>
          <w:lang w:val="uk-UA"/>
        </w:rPr>
        <w:t>;</w:t>
      </w:r>
    </w:p>
    <w:p w:rsidR="00A862DF" w:rsidRDefault="00A862DF" w:rsidP="00A862DF">
      <w:pPr>
        <w:pStyle w:val="a6"/>
        <w:spacing w:before="0" w:beforeAutospacing="0" w:after="0" w:afterAutospacing="0"/>
        <w:jc w:val="both"/>
        <w:rPr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поліо</w:t>
      </w:r>
      <w:proofErr w:type="spellEnd"/>
      <w:r w:rsidRPr="00A848BE">
        <w:rPr>
          <w:sz w:val="28"/>
          <w:szCs w:val="28"/>
        </w:rPr>
        <w:t>(3)-</w:t>
      </w:r>
      <w:r>
        <w:rPr>
          <w:sz w:val="28"/>
          <w:szCs w:val="28"/>
        </w:rPr>
        <w:t>91,4</w:t>
      </w:r>
      <w:r w:rsidRPr="00A848BE">
        <w:rPr>
          <w:sz w:val="28"/>
          <w:szCs w:val="28"/>
        </w:rPr>
        <w:t xml:space="preserve">%; </w:t>
      </w:r>
      <w:proofErr w:type="spellStart"/>
      <w:r w:rsidRPr="00A848BE">
        <w:rPr>
          <w:sz w:val="28"/>
          <w:szCs w:val="28"/>
        </w:rPr>
        <w:t>поліо</w:t>
      </w:r>
      <w:proofErr w:type="spellEnd"/>
      <w:r w:rsidRPr="00A848BE">
        <w:rPr>
          <w:sz w:val="28"/>
          <w:szCs w:val="28"/>
        </w:rPr>
        <w:t>(4)-</w:t>
      </w:r>
      <w:r>
        <w:rPr>
          <w:sz w:val="28"/>
          <w:szCs w:val="28"/>
        </w:rPr>
        <w:t>57,8</w:t>
      </w:r>
      <w:r w:rsidRPr="00A848BE">
        <w:rPr>
          <w:sz w:val="28"/>
          <w:szCs w:val="28"/>
        </w:rPr>
        <w:t xml:space="preserve">%; </w:t>
      </w:r>
      <w:proofErr w:type="spellStart"/>
      <w:r w:rsidRPr="00A848BE">
        <w:rPr>
          <w:sz w:val="28"/>
          <w:szCs w:val="28"/>
        </w:rPr>
        <w:t>поліо</w:t>
      </w:r>
      <w:proofErr w:type="spellEnd"/>
      <w:r w:rsidRPr="00A848BE">
        <w:rPr>
          <w:sz w:val="28"/>
          <w:szCs w:val="28"/>
        </w:rPr>
        <w:t>(5)-</w:t>
      </w:r>
      <w:r>
        <w:rPr>
          <w:sz w:val="28"/>
          <w:szCs w:val="28"/>
        </w:rPr>
        <w:t>64,8</w:t>
      </w:r>
      <w:r w:rsidRPr="00A848BE">
        <w:rPr>
          <w:sz w:val="28"/>
          <w:szCs w:val="28"/>
        </w:rPr>
        <w:t xml:space="preserve">%; </w:t>
      </w:r>
      <w:proofErr w:type="spellStart"/>
      <w:r w:rsidRPr="00A848BE">
        <w:rPr>
          <w:sz w:val="28"/>
          <w:szCs w:val="28"/>
        </w:rPr>
        <w:t>поліо</w:t>
      </w:r>
      <w:proofErr w:type="spellEnd"/>
      <w:r w:rsidRPr="00A848BE">
        <w:rPr>
          <w:sz w:val="28"/>
          <w:szCs w:val="28"/>
        </w:rPr>
        <w:t>(6)</w:t>
      </w:r>
      <w:r>
        <w:rPr>
          <w:sz w:val="28"/>
          <w:szCs w:val="28"/>
        </w:rPr>
        <w:t>-67,9</w:t>
      </w:r>
      <w:r w:rsidRPr="00A848BE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у 2023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>;</w:t>
      </w:r>
    </w:p>
    <w:p w:rsidR="00A862DF" w:rsidRDefault="00A862DF" w:rsidP="00A862D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E5857">
        <w:rPr>
          <w:i/>
          <w:sz w:val="28"/>
          <w:szCs w:val="28"/>
        </w:rPr>
        <w:t>кору</w:t>
      </w:r>
      <w:proofErr w:type="gramStart"/>
      <w:r w:rsidRPr="004E5857">
        <w:rPr>
          <w:i/>
          <w:sz w:val="28"/>
          <w:szCs w:val="28"/>
        </w:rPr>
        <w:t>,п</w:t>
      </w:r>
      <w:proofErr w:type="gramEnd"/>
      <w:r w:rsidRPr="004E5857">
        <w:rPr>
          <w:i/>
          <w:sz w:val="28"/>
          <w:szCs w:val="28"/>
        </w:rPr>
        <w:t>аротиту,краснухи</w:t>
      </w:r>
      <w:proofErr w:type="spellEnd"/>
      <w:r w:rsidRPr="004E5857">
        <w:rPr>
          <w:sz w:val="28"/>
          <w:szCs w:val="28"/>
        </w:rPr>
        <w:t>(</w:t>
      </w:r>
      <w:r>
        <w:rPr>
          <w:sz w:val="28"/>
          <w:szCs w:val="28"/>
        </w:rPr>
        <w:t>КПК(1р)-88,0%; КПК(6р)-57,3</w:t>
      </w:r>
      <w:r w:rsidRPr="004E5857">
        <w:rPr>
          <w:sz w:val="28"/>
          <w:szCs w:val="28"/>
        </w:rPr>
        <w:t xml:space="preserve">% </w:t>
      </w:r>
    </w:p>
    <w:p w:rsidR="00A862DF" w:rsidRDefault="00A862DF" w:rsidP="00A862D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E5857">
        <w:rPr>
          <w:sz w:val="28"/>
          <w:szCs w:val="28"/>
        </w:rPr>
        <w:t>проти</w:t>
      </w:r>
      <w:proofErr w:type="spellEnd"/>
      <w:r w:rsidRPr="004E5857">
        <w:rPr>
          <w:sz w:val="28"/>
          <w:szCs w:val="28"/>
        </w:rPr>
        <w:t xml:space="preserve"> КПК(1р)</w:t>
      </w:r>
      <w:r>
        <w:rPr>
          <w:sz w:val="28"/>
          <w:szCs w:val="28"/>
        </w:rPr>
        <w:t>-102,2</w:t>
      </w:r>
      <w:r w:rsidRPr="004E5857">
        <w:rPr>
          <w:sz w:val="28"/>
          <w:szCs w:val="28"/>
        </w:rPr>
        <w:t>%; КПК(6р)</w:t>
      </w:r>
      <w:r>
        <w:rPr>
          <w:sz w:val="28"/>
          <w:szCs w:val="28"/>
        </w:rPr>
        <w:t>-89,7</w:t>
      </w:r>
      <w:r w:rsidRPr="004E5857">
        <w:rPr>
          <w:sz w:val="28"/>
          <w:szCs w:val="28"/>
        </w:rPr>
        <w:t>%</w:t>
      </w:r>
      <w:r>
        <w:rPr>
          <w:sz w:val="28"/>
          <w:szCs w:val="28"/>
        </w:rPr>
        <w:t xml:space="preserve"> у 2023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>;</w:t>
      </w:r>
    </w:p>
    <w:p w:rsidR="00A862DF" w:rsidRPr="00527EB6" w:rsidRDefault="00A862DF" w:rsidP="00A862DF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</w:rPr>
        <w:t>дифтерії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 w:rsidRPr="00125B9A">
        <w:rPr>
          <w:i/>
          <w:sz w:val="28"/>
          <w:szCs w:val="28"/>
        </w:rPr>
        <w:t>правцю</w:t>
      </w:r>
      <w:proofErr w:type="spellEnd"/>
      <w:r w:rsidRPr="00125B9A">
        <w:rPr>
          <w:i/>
          <w:sz w:val="28"/>
          <w:szCs w:val="28"/>
        </w:rPr>
        <w:t xml:space="preserve">, </w:t>
      </w:r>
      <w:proofErr w:type="spellStart"/>
      <w:r w:rsidRPr="00125B9A">
        <w:rPr>
          <w:i/>
          <w:sz w:val="28"/>
          <w:szCs w:val="28"/>
        </w:rPr>
        <w:t>кашлюк</w:t>
      </w:r>
      <w:proofErr w:type="gramStart"/>
      <w:r w:rsidRPr="00125B9A">
        <w:rPr>
          <w:i/>
          <w:sz w:val="28"/>
          <w:szCs w:val="28"/>
        </w:rPr>
        <w:t>у</w:t>
      </w:r>
      <w:proofErr w:type="spellEnd"/>
      <w:r>
        <w:rPr>
          <w:sz w:val="28"/>
          <w:szCs w:val="28"/>
        </w:rPr>
        <w:t>(</w:t>
      </w:r>
      <w:proofErr w:type="gramEnd"/>
      <w:r w:rsidR="00527EB6">
        <w:rPr>
          <w:sz w:val="28"/>
          <w:szCs w:val="28"/>
        </w:rPr>
        <w:t xml:space="preserve">АКДП(3)-88,0%; </w:t>
      </w:r>
      <w:proofErr w:type="spellStart"/>
      <w:r w:rsidR="00527EB6">
        <w:rPr>
          <w:sz w:val="28"/>
          <w:szCs w:val="28"/>
        </w:rPr>
        <w:t>АДП-м</w:t>
      </w:r>
      <w:proofErr w:type="spellEnd"/>
      <w:r w:rsidR="00527EB6">
        <w:rPr>
          <w:sz w:val="28"/>
          <w:szCs w:val="28"/>
        </w:rPr>
        <w:t>(16р)-52,4%</w:t>
      </w:r>
    </w:p>
    <w:p w:rsidR="00A862DF" w:rsidRDefault="00527EB6" w:rsidP="00A862D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  <w:lang w:val="uk-UA"/>
        </w:rPr>
        <w:t xml:space="preserve"> </w:t>
      </w:r>
      <w:r w:rsidR="00A862DF">
        <w:rPr>
          <w:sz w:val="28"/>
          <w:szCs w:val="28"/>
        </w:rPr>
        <w:t xml:space="preserve">АКДП(3)-94,3%; </w:t>
      </w:r>
      <w:proofErr w:type="spellStart"/>
      <w:r w:rsidR="00A862DF">
        <w:rPr>
          <w:sz w:val="28"/>
          <w:szCs w:val="28"/>
        </w:rPr>
        <w:t>АДП-м</w:t>
      </w:r>
      <w:proofErr w:type="spellEnd"/>
      <w:r w:rsidR="00A862DF">
        <w:rPr>
          <w:sz w:val="28"/>
          <w:szCs w:val="28"/>
        </w:rPr>
        <w:t xml:space="preserve">(16р)-67,6% у 2023 </w:t>
      </w:r>
      <w:proofErr w:type="spellStart"/>
      <w:r w:rsidR="00A862DF">
        <w:rPr>
          <w:sz w:val="28"/>
          <w:szCs w:val="28"/>
        </w:rPr>
        <w:t>році</w:t>
      </w:r>
      <w:proofErr w:type="spellEnd"/>
      <w:r w:rsidR="00A862DF">
        <w:rPr>
          <w:sz w:val="28"/>
          <w:szCs w:val="28"/>
        </w:rPr>
        <w:t>;</w:t>
      </w:r>
    </w:p>
    <w:p w:rsidR="00A862DF" w:rsidRPr="00D071AD" w:rsidRDefault="00A862DF" w:rsidP="00A862D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071AD">
        <w:rPr>
          <w:i/>
          <w:sz w:val="28"/>
          <w:szCs w:val="28"/>
        </w:rPr>
        <w:t>туберкульозу</w:t>
      </w:r>
      <w:proofErr w:type="spellEnd"/>
      <w:r w:rsidR="00527EB6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(БЦЖ – 78,7%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93,1% у 2023</w:t>
      </w:r>
      <w:r w:rsidRPr="00D071AD">
        <w:rPr>
          <w:sz w:val="28"/>
          <w:szCs w:val="28"/>
        </w:rPr>
        <w:t xml:space="preserve"> </w:t>
      </w:r>
      <w:proofErr w:type="spellStart"/>
      <w:r w:rsidRPr="00D071AD">
        <w:rPr>
          <w:sz w:val="28"/>
          <w:szCs w:val="28"/>
        </w:rPr>
        <w:t>році</w:t>
      </w:r>
      <w:proofErr w:type="spellEnd"/>
      <w:r w:rsidRPr="00D071AD">
        <w:rPr>
          <w:sz w:val="28"/>
          <w:szCs w:val="28"/>
        </w:rPr>
        <w:t xml:space="preserve">) при </w:t>
      </w:r>
      <w:proofErr w:type="spellStart"/>
      <w:r w:rsidRPr="00D071AD">
        <w:rPr>
          <w:sz w:val="28"/>
          <w:szCs w:val="28"/>
        </w:rPr>
        <w:t>нормативних</w:t>
      </w:r>
      <w:proofErr w:type="spellEnd"/>
      <w:r w:rsidRPr="00D071AD">
        <w:rPr>
          <w:sz w:val="28"/>
          <w:szCs w:val="28"/>
        </w:rPr>
        <w:t xml:space="preserve"> не </w:t>
      </w:r>
      <w:proofErr w:type="spellStart"/>
      <w:r w:rsidRPr="00D071AD">
        <w:rPr>
          <w:sz w:val="28"/>
          <w:szCs w:val="28"/>
        </w:rPr>
        <w:t>менше</w:t>
      </w:r>
      <w:proofErr w:type="spellEnd"/>
      <w:r w:rsidRPr="00D071AD">
        <w:rPr>
          <w:sz w:val="28"/>
          <w:szCs w:val="28"/>
        </w:rPr>
        <w:t xml:space="preserve"> 95%.</w:t>
      </w:r>
    </w:p>
    <w:p w:rsidR="00A862DF" w:rsidRDefault="00A862DF" w:rsidP="00A862D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Однак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фіксується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ідвищення</w:t>
      </w:r>
      <w:proofErr w:type="spellEnd"/>
      <w:r w:rsidR="00527EB6">
        <w:rPr>
          <w:sz w:val="28"/>
          <w:szCs w:val="28"/>
          <w:lang w:val="uk-UA"/>
        </w:rPr>
        <w:t xml:space="preserve"> </w:t>
      </w:r>
      <w:proofErr w:type="spellStart"/>
      <w:r w:rsidRPr="00762060">
        <w:rPr>
          <w:sz w:val="28"/>
          <w:szCs w:val="28"/>
        </w:rPr>
        <w:t>окремих</w:t>
      </w:r>
      <w:proofErr w:type="spellEnd"/>
      <w:r w:rsidRPr="00762060">
        <w:rPr>
          <w:sz w:val="28"/>
          <w:szCs w:val="28"/>
        </w:rPr>
        <w:t xml:space="preserve"> </w:t>
      </w:r>
      <w:proofErr w:type="spellStart"/>
      <w:r w:rsidRPr="00762060">
        <w:rPr>
          <w:sz w:val="28"/>
          <w:szCs w:val="28"/>
        </w:rPr>
        <w:t>показників</w:t>
      </w:r>
      <w:proofErr w:type="spellEnd"/>
      <w:r w:rsidRPr="00762060">
        <w:rPr>
          <w:sz w:val="28"/>
          <w:szCs w:val="28"/>
        </w:rPr>
        <w:t xml:space="preserve"> </w:t>
      </w:r>
      <w:proofErr w:type="spellStart"/>
      <w:r w:rsidRPr="00762060">
        <w:rPr>
          <w:sz w:val="28"/>
          <w:szCs w:val="28"/>
        </w:rPr>
        <w:t>вакцинації</w:t>
      </w:r>
      <w:proofErr w:type="spellEnd"/>
      <w:r w:rsidRPr="00762060">
        <w:rPr>
          <w:sz w:val="28"/>
          <w:szCs w:val="28"/>
        </w:rPr>
        <w:t xml:space="preserve">, </w:t>
      </w:r>
      <w:proofErr w:type="spellStart"/>
      <w:r w:rsidRPr="00762060"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>:</w:t>
      </w:r>
    </w:p>
    <w:p w:rsidR="00A862DF" w:rsidRPr="00A82C88" w:rsidRDefault="00A862DF" w:rsidP="00A862DF">
      <w:pPr>
        <w:pStyle w:val="a6"/>
        <w:spacing w:before="0" w:beforeAutospacing="0" w:after="0" w:afterAutospacing="0"/>
        <w:jc w:val="both"/>
        <w:rPr>
          <w:color w:val="FF0000"/>
          <w:sz w:val="28"/>
          <w:szCs w:val="28"/>
        </w:rPr>
      </w:pPr>
      <w:proofErr w:type="spellStart"/>
      <w:proofErr w:type="gramStart"/>
      <w:r w:rsidRPr="004E5857">
        <w:rPr>
          <w:i/>
          <w:sz w:val="28"/>
          <w:szCs w:val="28"/>
        </w:rPr>
        <w:t>поліомієліту</w:t>
      </w:r>
      <w:proofErr w:type="spellEnd"/>
      <w:r w:rsidRPr="00B13DED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поліо</w:t>
      </w:r>
      <w:proofErr w:type="spellEnd"/>
      <w:r>
        <w:rPr>
          <w:sz w:val="28"/>
          <w:szCs w:val="28"/>
        </w:rPr>
        <w:t>(4)-76,6%</w:t>
      </w:r>
      <w:r w:rsidR="00527EB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848BE">
        <w:rPr>
          <w:sz w:val="28"/>
          <w:szCs w:val="28"/>
        </w:rPr>
        <w:t>поліо</w:t>
      </w:r>
      <w:proofErr w:type="spellEnd"/>
      <w:r w:rsidRPr="00A848BE">
        <w:rPr>
          <w:sz w:val="28"/>
          <w:szCs w:val="28"/>
        </w:rPr>
        <w:t>(4)-</w:t>
      </w:r>
      <w:r>
        <w:rPr>
          <w:sz w:val="28"/>
          <w:szCs w:val="28"/>
        </w:rPr>
        <w:t xml:space="preserve">57,8%у 2023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>;</w:t>
      </w:r>
      <w:proofErr w:type="gramEnd"/>
    </w:p>
    <w:p w:rsidR="00A862DF" w:rsidRDefault="00A862DF" w:rsidP="00A862D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762060">
        <w:rPr>
          <w:i/>
          <w:sz w:val="28"/>
          <w:szCs w:val="28"/>
        </w:rPr>
        <w:t>дифтерії</w:t>
      </w:r>
      <w:proofErr w:type="spellEnd"/>
      <w:r w:rsidRPr="00762060">
        <w:rPr>
          <w:i/>
          <w:sz w:val="28"/>
          <w:szCs w:val="28"/>
        </w:rPr>
        <w:t xml:space="preserve">, </w:t>
      </w:r>
      <w:proofErr w:type="spellStart"/>
      <w:r w:rsidRPr="00762060">
        <w:rPr>
          <w:i/>
          <w:sz w:val="28"/>
          <w:szCs w:val="28"/>
        </w:rPr>
        <w:t>правцю</w:t>
      </w:r>
      <w:proofErr w:type="spellEnd"/>
      <w:r w:rsidRPr="00762060">
        <w:rPr>
          <w:i/>
          <w:sz w:val="28"/>
          <w:szCs w:val="28"/>
        </w:rPr>
        <w:t xml:space="preserve">, </w:t>
      </w:r>
      <w:proofErr w:type="spellStart"/>
      <w:r w:rsidRPr="00762060">
        <w:rPr>
          <w:i/>
          <w:sz w:val="28"/>
          <w:szCs w:val="28"/>
        </w:rPr>
        <w:t>кашлюку</w:t>
      </w:r>
      <w:proofErr w:type="spellEnd"/>
      <w:r w:rsidRPr="0076206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(АКДП(4)-79,9%; </w:t>
      </w:r>
      <w:proofErr w:type="spellStart"/>
      <w:r>
        <w:rPr>
          <w:sz w:val="28"/>
          <w:szCs w:val="28"/>
        </w:rPr>
        <w:t>АДП-м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дорослі</w:t>
      </w:r>
      <w:proofErr w:type="spellEnd"/>
      <w:r>
        <w:rPr>
          <w:sz w:val="28"/>
          <w:szCs w:val="28"/>
        </w:rPr>
        <w:t xml:space="preserve">)- 77,6% </w:t>
      </w:r>
      <w:proofErr w:type="gramEnd"/>
    </w:p>
    <w:p w:rsidR="00A862DF" w:rsidRDefault="00A862DF" w:rsidP="00A862D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АКДП(4)-</w:t>
      </w:r>
      <w:r w:rsidR="00527EB6">
        <w:rPr>
          <w:sz w:val="28"/>
          <w:szCs w:val="28"/>
        </w:rPr>
        <w:t xml:space="preserve">58,4%; </w:t>
      </w:r>
      <w:proofErr w:type="spellStart"/>
      <w:r w:rsidR="00527EB6">
        <w:rPr>
          <w:sz w:val="28"/>
          <w:szCs w:val="28"/>
        </w:rPr>
        <w:t>АДП-м</w:t>
      </w:r>
      <w:proofErr w:type="spellEnd"/>
      <w:r w:rsidR="00527EB6">
        <w:rPr>
          <w:sz w:val="28"/>
          <w:szCs w:val="28"/>
        </w:rPr>
        <w:t xml:space="preserve"> (</w:t>
      </w:r>
      <w:proofErr w:type="spellStart"/>
      <w:r w:rsidR="00527EB6">
        <w:rPr>
          <w:sz w:val="28"/>
          <w:szCs w:val="28"/>
        </w:rPr>
        <w:t>дорослі</w:t>
      </w:r>
      <w:proofErr w:type="spellEnd"/>
      <w:r w:rsidR="00527EB6">
        <w:rPr>
          <w:sz w:val="28"/>
          <w:szCs w:val="28"/>
        </w:rPr>
        <w:t xml:space="preserve">)- 73,2% </w:t>
      </w:r>
      <w:r>
        <w:rPr>
          <w:sz w:val="28"/>
          <w:szCs w:val="28"/>
        </w:rPr>
        <w:t>у 2023</w:t>
      </w:r>
      <w:r w:rsidRPr="00762060">
        <w:rPr>
          <w:sz w:val="28"/>
          <w:szCs w:val="28"/>
        </w:rPr>
        <w:t xml:space="preserve"> </w:t>
      </w:r>
      <w:proofErr w:type="spellStart"/>
      <w:r w:rsidRPr="00762060">
        <w:rPr>
          <w:sz w:val="28"/>
          <w:szCs w:val="28"/>
        </w:rPr>
        <w:t>році</w:t>
      </w:r>
      <w:proofErr w:type="spellEnd"/>
      <w:r w:rsidRPr="00762060">
        <w:rPr>
          <w:sz w:val="28"/>
          <w:szCs w:val="28"/>
        </w:rPr>
        <w:t>;</w:t>
      </w:r>
    </w:p>
    <w:p w:rsidR="00A862DF" w:rsidRPr="00762060" w:rsidRDefault="00A862DF" w:rsidP="00A862D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гепатиту </w:t>
      </w:r>
      <w:proofErr w:type="gramStart"/>
      <w:r>
        <w:rPr>
          <w:i/>
          <w:sz w:val="28"/>
          <w:szCs w:val="28"/>
        </w:rPr>
        <w:t>В</w:t>
      </w:r>
      <w:r w:rsidR="00527EB6">
        <w:rPr>
          <w:sz w:val="28"/>
          <w:szCs w:val="28"/>
        </w:rPr>
        <w:t>(</w:t>
      </w:r>
      <w:proofErr w:type="gramEnd"/>
      <w:r w:rsidR="00527EB6">
        <w:rPr>
          <w:sz w:val="28"/>
          <w:szCs w:val="28"/>
        </w:rPr>
        <w:t xml:space="preserve">В-3)-93,7% </w:t>
      </w:r>
      <w:proofErr w:type="spellStart"/>
      <w:r w:rsidR="00527EB6">
        <w:rPr>
          <w:sz w:val="28"/>
          <w:szCs w:val="28"/>
        </w:rPr>
        <w:t>проти</w:t>
      </w:r>
      <w:proofErr w:type="spellEnd"/>
      <w:r w:rsidR="00527EB6">
        <w:rPr>
          <w:sz w:val="28"/>
          <w:szCs w:val="28"/>
        </w:rPr>
        <w:t xml:space="preserve"> (В-3)-90,4% </w:t>
      </w:r>
      <w:r>
        <w:rPr>
          <w:sz w:val="28"/>
          <w:szCs w:val="28"/>
        </w:rPr>
        <w:t>у 2023</w:t>
      </w:r>
      <w:r w:rsidRPr="00762060">
        <w:rPr>
          <w:sz w:val="28"/>
          <w:szCs w:val="28"/>
        </w:rPr>
        <w:t xml:space="preserve"> </w:t>
      </w:r>
      <w:proofErr w:type="spellStart"/>
      <w:r w:rsidRPr="00762060">
        <w:rPr>
          <w:sz w:val="28"/>
          <w:szCs w:val="28"/>
        </w:rPr>
        <w:t>році</w:t>
      </w:r>
      <w:proofErr w:type="spellEnd"/>
      <w:r w:rsidRPr="00762060">
        <w:rPr>
          <w:sz w:val="28"/>
          <w:szCs w:val="28"/>
        </w:rPr>
        <w:t>;</w:t>
      </w:r>
    </w:p>
    <w:p w:rsidR="00A862DF" w:rsidRPr="00603CA4" w:rsidRDefault="00A862DF" w:rsidP="00A862D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03CA4">
        <w:rPr>
          <w:i/>
          <w:sz w:val="28"/>
          <w:szCs w:val="28"/>
        </w:rPr>
        <w:t>Хі</w:t>
      </w:r>
      <w:proofErr w:type="gramStart"/>
      <w:r w:rsidRPr="00603CA4">
        <w:rPr>
          <w:i/>
          <w:sz w:val="28"/>
          <w:szCs w:val="28"/>
        </w:rPr>
        <w:t>б-</w:t>
      </w:r>
      <w:proofErr w:type="gramEnd"/>
      <w:r w:rsidRPr="00603CA4">
        <w:rPr>
          <w:i/>
          <w:sz w:val="28"/>
          <w:szCs w:val="28"/>
        </w:rPr>
        <w:t>інфекції</w:t>
      </w:r>
      <w:proofErr w:type="spellEnd"/>
      <w:r w:rsidRPr="00603CA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Hib</w:t>
      </w:r>
      <w:proofErr w:type="spellEnd"/>
      <w:r>
        <w:rPr>
          <w:sz w:val="28"/>
          <w:szCs w:val="28"/>
        </w:rPr>
        <w:t xml:space="preserve">-2)-95,5%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lang w:val="en-US"/>
        </w:rPr>
        <w:t>Hib</w:t>
      </w:r>
      <w:proofErr w:type="spellEnd"/>
      <w:r>
        <w:rPr>
          <w:sz w:val="28"/>
          <w:szCs w:val="28"/>
        </w:rPr>
        <w:t xml:space="preserve">-2)-85,7% у 2023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>.</w:t>
      </w:r>
    </w:p>
    <w:p w:rsidR="00A862DF" w:rsidRDefault="00A862DF" w:rsidP="00A862DF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Hib</w:t>
      </w:r>
      <w:proofErr w:type="spellEnd"/>
      <w:r w:rsidRPr="00603CA4">
        <w:rPr>
          <w:sz w:val="28"/>
          <w:szCs w:val="28"/>
        </w:rPr>
        <w:t>-3</w:t>
      </w:r>
      <w:r>
        <w:rPr>
          <w:sz w:val="28"/>
          <w:szCs w:val="28"/>
        </w:rPr>
        <w:t xml:space="preserve">)-72,0%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lang w:val="en-US"/>
        </w:rPr>
        <w:t>Hib</w:t>
      </w:r>
      <w:proofErr w:type="spellEnd"/>
      <w:r w:rsidRPr="00603CA4">
        <w:rPr>
          <w:sz w:val="28"/>
          <w:szCs w:val="28"/>
        </w:rPr>
        <w:t>-3</w:t>
      </w:r>
      <w:r>
        <w:rPr>
          <w:sz w:val="28"/>
          <w:szCs w:val="28"/>
        </w:rPr>
        <w:t xml:space="preserve">)-65,6% у 2023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>.</w:t>
      </w:r>
    </w:p>
    <w:p w:rsidR="00A862DF" w:rsidRPr="00B8051D" w:rsidRDefault="00A862DF" w:rsidP="00A862DF">
      <w:pPr>
        <w:pStyle w:val="a6"/>
        <w:spacing w:before="0" w:beforeAutospacing="0" w:after="0" w:afterAutospacing="0"/>
        <w:ind w:firstLine="567"/>
        <w:jc w:val="both"/>
      </w:pPr>
      <w:proofErr w:type="spellStart"/>
      <w:r w:rsidRPr="00B8051D">
        <w:rPr>
          <w:sz w:val="28"/>
          <w:szCs w:val="28"/>
        </w:rPr>
        <w:t>Недостатній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від</w:t>
      </w:r>
      <w:proofErr w:type="spellEnd"/>
      <w:r w:rsidRPr="00B8051D">
        <w:rPr>
          <w:sz w:val="28"/>
          <w:szCs w:val="28"/>
        </w:rPr>
        <w:t xml:space="preserve"> планового </w:t>
      </w:r>
      <w:proofErr w:type="spellStart"/>
      <w:proofErr w:type="gramStart"/>
      <w:r w:rsidRPr="00B8051D">
        <w:rPr>
          <w:sz w:val="28"/>
          <w:szCs w:val="28"/>
        </w:rPr>
        <w:t>р</w:t>
      </w:r>
      <w:proofErr w:type="gramEnd"/>
      <w:r w:rsidRPr="00B8051D">
        <w:rPr>
          <w:sz w:val="28"/>
          <w:szCs w:val="28"/>
        </w:rPr>
        <w:t>івня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відсоток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охоплення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щепленням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майже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всіма</w:t>
      </w:r>
      <w:proofErr w:type="spellEnd"/>
      <w:r w:rsidRPr="00B8051D">
        <w:rPr>
          <w:sz w:val="28"/>
          <w:szCs w:val="28"/>
        </w:rPr>
        <w:t xml:space="preserve"> видами </w:t>
      </w:r>
      <w:proofErr w:type="spellStart"/>
      <w:r w:rsidRPr="00B8051D">
        <w:rPr>
          <w:sz w:val="28"/>
          <w:szCs w:val="28"/>
        </w:rPr>
        <w:t>вакцинацій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пов’язаний</w:t>
      </w:r>
      <w:proofErr w:type="spellEnd"/>
      <w:r w:rsidRPr="00B8051D">
        <w:rPr>
          <w:sz w:val="28"/>
          <w:szCs w:val="28"/>
        </w:rPr>
        <w:t xml:space="preserve">, </w:t>
      </w:r>
      <w:proofErr w:type="spellStart"/>
      <w:r w:rsidRPr="00B8051D">
        <w:rPr>
          <w:sz w:val="28"/>
          <w:szCs w:val="28"/>
        </w:rPr>
        <w:t>насамперед</w:t>
      </w:r>
      <w:proofErr w:type="spellEnd"/>
      <w:r w:rsidRPr="00B8051D">
        <w:rPr>
          <w:sz w:val="28"/>
          <w:szCs w:val="28"/>
        </w:rPr>
        <w:t xml:space="preserve">, </w:t>
      </w:r>
      <w:proofErr w:type="spellStart"/>
      <w:r w:rsidRPr="00B8051D">
        <w:rPr>
          <w:sz w:val="28"/>
          <w:szCs w:val="28"/>
        </w:rPr>
        <w:t>з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міграцією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батьків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з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дітьми</w:t>
      </w:r>
      <w:proofErr w:type="spellEnd"/>
      <w:r w:rsidRPr="00B8051D">
        <w:rPr>
          <w:sz w:val="28"/>
          <w:szCs w:val="28"/>
        </w:rPr>
        <w:t xml:space="preserve"> за кордон в </w:t>
      </w:r>
      <w:proofErr w:type="spellStart"/>
      <w:r w:rsidRPr="00B8051D">
        <w:rPr>
          <w:sz w:val="28"/>
          <w:szCs w:val="28"/>
        </w:rPr>
        <w:t>результаті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воєнних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дій</w:t>
      </w:r>
      <w:proofErr w:type="spellEnd"/>
      <w:r w:rsidRPr="00B8051D">
        <w:rPr>
          <w:sz w:val="28"/>
          <w:szCs w:val="28"/>
        </w:rPr>
        <w:t xml:space="preserve"> в </w:t>
      </w:r>
      <w:proofErr w:type="spellStart"/>
      <w:r w:rsidRPr="00B8051D">
        <w:rPr>
          <w:sz w:val="28"/>
          <w:szCs w:val="28"/>
        </w:rPr>
        <w:t>країні</w:t>
      </w:r>
      <w:proofErr w:type="spellEnd"/>
      <w:r w:rsidRPr="00B8051D">
        <w:rPr>
          <w:sz w:val="28"/>
          <w:szCs w:val="28"/>
        </w:rPr>
        <w:t xml:space="preserve"> та </w:t>
      </w:r>
      <w:proofErr w:type="spellStart"/>
      <w:r w:rsidRPr="00B8051D">
        <w:rPr>
          <w:sz w:val="28"/>
          <w:szCs w:val="28"/>
        </w:rPr>
        <w:t>тимчасовою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відсутністю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деяких</w:t>
      </w:r>
      <w:proofErr w:type="spellEnd"/>
      <w:r w:rsidRPr="00B8051D">
        <w:rPr>
          <w:sz w:val="28"/>
          <w:szCs w:val="28"/>
        </w:rPr>
        <w:t xml:space="preserve"> </w:t>
      </w:r>
      <w:proofErr w:type="spellStart"/>
      <w:r w:rsidRPr="00B8051D">
        <w:rPr>
          <w:sz w:val="28"/>
          <w:szCs w:val="28"/>
        </w:rPr>
        <w:t>видів</w:t>
      </w:r>
      <w:proofErr w:type="spellEnd"/>
      <w:r w:rsidRPr="00B8051D">
        <w:rPr>
          <w:sz w:val="28"/>
          <w:szCs w:val="28"/>
        </w:rPr>
        <w:t xml:space="preserve"> вакцин. </w:t>
      </w:r>
    </w:p>
    <w:p w:rsidR="00BA3E13" w:rsidRPr="006870FA" w:rsidRDefault="00BA3E13" w:rsidP="00BA3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245B" w:rsidRDefault="00A46DE5" w:rsidP="006F305F">
      <w:pPr>
        <w:pStyle w:val="a3"/>
        <w:numPr>
          <w:ilvl w:val="0"/>
          <w:numId w:val="24"/>
        </w:numPr>
        <w:jc w:val="both"/>
        <w:rPr>
          <w:b/>
          <w:color w:val="984806" w:themeColor="accent6" w:themeShade="80"/>
          <w:sz w:val="28"/>
          <w:szCs w:val="28"/>
          <w:u w:val="single"/>
          <w:lang w:val="uk-UA"/>
        </w:rPr>
      </w:pPr>
      <w:r>
        <w:rPr>
          <w:b/>
          <w:color w:val="984806" w:themeColor="accent6" w:themeShade="80"/>
          <w:sz w:val="28"/>
          <w:szCs w:val="28"/>
          <w:u w:val="single"/>
          <w:lang w:val="uk-UA"/>
        </w:rPr>
        <w:lastRenderedPageBreak/>
        <w:t>Ф</w:t>
      </w:r>
      <w:r w:rsidR="0098245B" w:rsidRPr="0098245B">
        <w:rPr>
          <w:b/>
          <w:color w:val="984806" w:themeColor="accent6" w:themeShade="80"/>
          <w:sz w:val="28"/>
          <w:szCs w:val="28"/>
          <w:u w:val="single"/>
          <w:lang w:val="uk-UA"/>
        </w:rPr>
        <w:t>інансово-економічні та господарські показники</w:t>
      </w:r>
    </w:p>
    <w:p w:rsidR="00A2209B" w:rsidRPr="0098245B" w:rsidRDefault="00A2209B" w:rsidP="00A2209B">
      <w:pPr>
        <w:pStyle w:val="a3"/>
        <w:ind w:left="1287"/>
        <w:jc w:val="both"/>
        <w:rPr>
          <w:b/>
          <w:color w:val="984806" w:themeColor="accent6" w:themeShade="80"/>
          <w:sz w:val="28"/>
          <w:szCs w:val="28"/>
          <w:u w:val="single"/>
          <w:lang w:val="uk-UA"/>
        </w:rPr>
      </w:pPr>
    </w:p>
    <w:p w:rsidR="00D142D0" w:rsidRPr="00C3385B" w:rsidRDefault="001676D4" w:rsidP="00C3385B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2024</w:t>
      </w:r>
      <w:r w:rsidR="00873AE5" w:rsidRPr="00796401">
        <w:rPr>
          <w:sz w:val="28"/>
          <w:szCs w:val="28"/>
          <w:lang w:val="uk-UA"/>
        </w:rPr>
        <w:t xml:space="preserve"> рік</w:t>
      </w:r>
      <w:r w:rsidR="00F457F3" w:rsidRPr="00796401">
        <w:rPr>
          <w:sz w:val="28"/>
          <w:szCs w:val="28"/>
          <w:lang w:val="uk-UA"/>
        </w:rPr>
        <w:t xml:space="preserve"> </w:t>
      </w:r>
      <w:r w:rsidR="00F457F3" w:rsidRPr="00796401">
        <w:rPr>
          <w:b/>
          <w:sz w:val="28"/>
          <w:szCs w:val="28"/>
          <w:lang w:val="uk-UA"/>
        </w:rPr>
        <w:t>консолідований</w:t>
      </w:r>
      <w:r w:rsidR="00873AE5" w:rsidRPr="00796401">
        <w:rPr>
          <w:b/>
          <w:sz w:val="28"/>
          <w:szCs w:val="28"/>
          <w:lang w:val="uk-UA"/>
        </w:rPr>
        <w:t xml:space="preserve"> обсяг коштів</w:t>
      </w:r>
      <w:r w:rsidR="00873AE5" w:rsidRPr="00796401">
        <w:rPr>
          <w:sz w:val="28"/>
          <w:szCs w:val="28"/>
          <w:lang w:val="uk-UA"/>
        </w:rPr>
        <w:t xml:space="preserve">, які надійшли до комунальних підприємств </w:t>
      </w:r>
      <w:r w:rsidR="00D142D0" w:rsidRPr="00796401">
        <w:rPr>
          <w:sz w:val="28"/>
          <w:szCs w:val="28"/>
          <w:lang w:val="uk-UA"/>
        </w:rPr>
        <w:t xml:space="preserve">становить </w:t>
      </w:r>
      <w:r w:rsidR="00F124BF">
        <w:rPr>
          <w:b/>
          <w:sz w:val="28"/>
          <w:szCs w:val="28"/>
          <w:lang w:val="uk-UA"/>
        </w:rPr>
        <w:t>1</w:t>
      </w:r>
      <w:r w:rsidR="004F1EE1">
        <w:rPr>
          <w:b/>
          <w:sz w:val="28"/>
          <w:szCs w:val="28"/>
          <w:lang w:val="uk-UA"/>
        </w:rPr>
        <w:t> 189,3</w:t>
      </w:r>
      <w:r w:rsidR="00F124BF">
        <w:rPr>
          <w:b/>
          <w:sz w:val="28"/>
          <w:szCs w:val="28"/>
          <w:lang w:val="uk-UA"/>
        </w:rPr>
        <w:t xml:space="preserve"> </w:t>
      </w:r>
      <w:r w:rsidR="0041663E">
        <w:rPr>
          <w:sz w:val="28"/>
          <w:szCs w:val="28"/>
          <w:lang w:val="uk-UA"/>
        </w:rPr>
        <w:t xml:space="preserve"> </w:t>
      </w:r>
      <w:r w:rsidR="00611552" w:rsidRPr="00796401">
        <w:rPr>
          <w:b/>
          <w:sz w:val="28"/>
          <w:szCs w:val="28"/>
          <w:lang w:val="uk-UA"/>
        </w:rPr>
        <w:t>млн. грн</w:t>
      </w:r>
      <w:r w:rsidR="0098245B">
        <w:rPr>
          <w:sz w:val="28"/>
          <w:szCs w:val="28"/>
          <w:lang w:val="uk-UA"/>
        </w:rPr>
        <w:t xml:space="preserve"> (2021 рік – 733,4 млн. грн, 2022 рік – 1018,8 млн. грн</w:t>
      </w:r>
      <w:r w:rsidR="00C3385B">
        <w:rPr>
          <w:sz w:val="28"/>
          <w:szCs w:val="28"/>
          <w:lang w:val="uk-UA"/>
        </w:rPr>
        <w:t>, 2023 рік – 994,6 млн. грн</w:t>
      </w:r>
      <w:r w:rsidR="00611552" w:rsidRPr="00C3385B">
        <w:rPr>
          <w:sz w:val="28"/>
          <w:szCs w:val="28"/>
          <w:lang w:val="uk-UA"/>
        </w:rPr>
        <w:t>)</w:t>
      </w:r>
      <w:r w:rsidR="00D142D0" w:rsidRPr="00C3385B">
        <w:rPr>
          <w:sz w:val="28"/>
          <w:szCs w:val="28"/>
          <w:lang w:val="uk-UA"/>
        </w:rPr>
        <w:t>:</w:t>
      </w:r>
    </w:p>
    <w:p w:rsidR="00D142D0" w:rsidRDefault="00873AE5" w:rsidP="00A64DF7">
      <w:pPr>
        <w:pStyle w:val="a3"/>
        <w:numPr>
          <w:ilvl w:val="0"/>
          <w:numId w:val="18"/>
        </w:numPr>
        <w:ind w:left="0" w:firstLine="0"/>
        <w:jc w:val="both"/>
        <w:rPr>
          <w:sz w:val="28"/>
          <w:szCs w:val="28"/>
          <w:lang w:val="uk-UA"/>
        </w:rPr>
      </w:pPr>
      <w:r w:rsidRPr="00796401">
        <w:rPr>
          <w:sz w:val="28"/>
          <w:szCs w:val="28"/>
          <w:lang w:val="uk-UA"/>
        </w:rPr>
        <w:t>від Національної служби здоров’я України</w:t>
      </w:r>
      <w:r w:rsidR="00D142D0" w:rsidRPr="00796401">
        <w:rPr>
          <w:sz w:val="28"/>
          <w:szCs w:val="28"/>
          <w:lang w:val="uk-UA"/>
        </w:rPr>
        <w:t xml:space="preserve"> згідно з умовами контактування –</w:t>
      </w:r>
      <w:r w:rsidR="00AA4DAC">
        <w:rPr>
          <w:sz w:val="28"/>
          <w:szCs w:val="28"/>
          <w:lang w:val="uk-UA"/>
        </w:rPr>
        <w:t xml:space="preserve"> </w:t>
      </w:r>
      <w:r w:rsidR="00F124BF">
        <w:rPr>
          <w:b/>
          <w:sz w:val="28"/>
          <w:szCs w:val="28"/>
          <w:lang w:val="uk-UA"/>
        </w:rPr>
        <w:t>966,4</w:t>
      </w:r>
      <w:r w:rsidR="00643944" w:rsidRPr="00A64DF7">
        <w:rPr>
          <w:sz w:val="28"/>
          <w:szCs w:val="28"/>
          <w:lang w:val="uk-UA"/>
        </w:rPr>
        <w:t xml:space="preserve"> </w:t>
      </w:r>
      <w:r w:rsidR="00C611C7" w:rsidRPr="00A64DF7">
        <w:rPr>
          <w:sz w:val="28"/>
          <w:szCs w:val="28"/>
          <w:lang w:val="uk-UA"/>
        </w:rPr>
        <w:t>млн. грн (2021 рік – 626,2 млн. грн</w:t>
      </w:r>
      <w:r w:rsidR="0098245B" w:rsidRPr="00A64DF7">
        <w:rPr>
          <w:sz w:val="28"/>
          <w:szCs w:val="28"/>
          <w:lang w:val="uk-UA"/>
        </w:rPr>
        <w:t>, 2022 рік – 867,7 млн. грн</w:t>
      </w:r>
      <w:r w:rsidR="00F124BF">
        <w:rPr>
          <w:sz w:val="28"/>
          <w:szCs w:val="28"/>
          <w:lang w:val="uk-UA"/>
        </w:rPr>
        <w:t>, 2023 рік – 822,0</w:t>
      </w:r>
      <w:r w:rsidR="00F124BF" w:rsidRPr="00A64DF7">
        <w:rPr>
          <w:sz w:val="28"/>
          <w:szCs w:val="28"/>
          <w:lang w:val="uk-UA"/>
        </w:rPr>
        <w:t xml:space="preserve"> млн. грн</w:t>
      </w:r>
      <w:r w:rsidR="00C611C7" w:rsidRPr="00A64DF7">
        <w:rPr>
          <w:sz w:val="28"/>
          <w:szCs w:val="28"/>
          <w:lang w:val="uk-UA"/>
        </w:rPr>
        <w:t>)</w:t>
      </w:r>
      <w:r w:rsidR="00D142D0" w:rsidRPr="00A64DF7">
        <w:rPr>
          <w:sz w:val="28"/>
          <w:szCs w:val="28"/>
          <w:lang w:val="uk-UA"/>
        </w:rPr>
        <w:t>;</w:t>
      </w:r>
    </w:p>
    <w:p w:rsidR="00E110C8" w:rsidRPr="00A64DF7" w:rsidRDefault="00E110C8" w:rsidP="00E110C8">
      <w:pPr>
        <w:pStyle w:val="a3"/>
        <w:ind w:left="0"/>
        <w:jc w:val="both"/>
        <w:rPr>
          <w:sz w:val="28"/>
          <w:szCs w:val="28"/>
          <w:lang w:val="uk-UA"/>
        </w:rPr>
      </w:pPr>
    </w:p>
    <w:p w:rsidR="00C44E72" w:rsidRDefault="00D142D0" w:rsidP="00F92A4D">
      <w:pPr>
        <w:pStyle w:val="a3"/>
        <w:numPr>
          <w:ilvl w:val="0"/>
          <w:numId w:val="18"/>
        </w:numPr>
        <w:ind w:left="0" w:firstLine="0"/>
        <w:jc w:val="both"/>
        <w:rPr>
          <w:sz w:val="28"/>
          <w:szCs w:val="28"/>
          <w:lang w:val="uk-UA"/>
        </w:rPr>
      </w:pPr>
      <w:r w:rsidRPr="00796401">
        <w:rPr>
          <w:sz w:val="28"/>
          <w:szCs w:val="28"/>
          <w:lang w:val="uk-UA"/>
        </w:rPr>
        <w:t>з бюджету Луцької МТГ –</w:t>
      </w:r>
      <w:r w:rsidR="00ED72B5">
        <w:rPr>
          <w:sz w:val="28"/>
          <w:szCs w:val="28"/>
          <w:lang w:val="uk-UA"/>
        </w:rPr>
        <w:t xml:space="preserve"> </w:t>
      </w:r>
      <w:r w:rsidR="006170E6">
        <w:rPr>
          <w:b/>
          <w:sz w:val="28"/>
          <w:szCs w:val="28"/>
          <w:lang w:val="uk-UA"/>
        </w:rPr>
        <w:t>9</w:t>
      </w:r>
      <w:r w:rsidR="004F1EE1">
        <w:rPr>
          <w:b/>
          <w:sz w:val="28"/>
          <w:szCs w:val="28"/>
          <w:lang w:val="uk-UA"/>
        </w:rPr>
        <w:t>9,9</w:t>
      </w:r>
      <w:r w:rsidR="00AA4DAC">
        <w:rPr>
          <w:sz w:val="28"/>
          <w:szCs w:val="28"/>
          <w:lang w:val="uk-UA"/>
        </w:rPr>
        <w:t xml:space="preserve"> </w:t>
      </w:r>
      <w:r w:rsidRPr="00796401">
        <w:rPr>
          <w:sz w:val="28"/>
          <w:szCs w:val="28"/>
          <w:lang w:val="uk-UA"/>
        </w:rPr>
        <w:t>млн. грн (2021 рік – 53,6 млн. грн</w:t>
      </w:r>
      <w:r w:rsidR="00C914B8">
        <w:rPr>
          <w:sz w:val="28"/>
          <w:szCs w:val="28"/>
          <w:lang w:val="uk-UA"/>
        </w:rPr>
        <w:t>, 2022 рік – 80,7 млн. грн</w:t>
      </w:r>
      <w:r w:rsidR="00F124BF">
        <w:rPr>
          <w:sz w:val="28"/>
          <w:szCs w:val="28"/>
          <w:lang w:val="uk-UA"/>
        </w:rPr>
        <w:t>, 2023 рік – 75,1 млн. грн</w:t>
      </w:r>
      <w:r w:rsidRPr="00796401">
        <w:rPr>
          <w:sz w:val="28"/>
          <w:szCs w:val="28"/>
          <w:lang w:val="uk-UA"/>
        </w:rPr>
        <w:t>);</w:t>
      </w:r>
    </w:p>
    <w:p w:rsidR="00E110C8" w:rsidRPr="00E110C8" w:rsidRDefault="00E110C8" w:rsidP="00E110C8">
      <w:pPr>
        <w:pStyle w:val="a3"/>
        <w:rPr>
          <w:sz w:val="28"/>
          <w:szCs w:val="28"/>
          <w:lang w:val="uk-UA"/>
        </w:rPr>
      </w:pPr>
    </w:p>
    <w:p w:rsidR="009279F3" w:rsidRDefault="009279F3" w:rsidP="00F92A4D">
      <w:pPr>
        <w:pStyle w:val="a3"/>
        <w:numPr>
          <w:ilvl w:val="0"/>
          <w:numId w:val="18"/>
        </w:numPr>
        <w:ind w:left="0" w:firstLine="0"/>
        <w:jc w:val="both"/>
        <w:rPr>
          <w:sz w:val="28"/>
          <w:szCs w:val="28"/>
          <w:lang w:val="uk-UA"/>
        </w:rPr>
      </w:pPr>
      <w:r w:rsidRPr="00796401">
        <w:rPr>
          <w:sz w:val="28"/>
          <w:szCs w:val="28"/>
          <w:lang w:val="uk-UA"/>
        </w:rPr>
        <w:t>платні послуги –</w:t>
      </w:r>
      <w:r w:rsidR="001011E1">
        <w:rPr>
          <w:sz w:val="28"/>
          <w:szCs w:val="28"/>
          <w:lang w:val="uk-UA"/>
        </w:rPr>
        <w:t xml:space="preserve"> </w:t>
      </w:r>
      <w:r w:rsidR="00E110C8">
        <w:rPr>
          <w:b/>
          <w:sz w:val="28"/>
          <w:szCs w:val="28"/>
          <w:lang w:val="uk-UA"/>
        </w:rPr>
        <w:t>92,</w:t>
      </w:r>
      <w:r w:rsidR="0057622C">
        <w:rPr>
          <w:b/>
          <w:sz w:val="28"/>
          <w:szCs w:val="28"/>
          <w:lang w:val="uk-UA"/>
        </w:rPr>
        <w:t>9</w:t>
      </w:r>
      <w:r w:rsidR="006F305F">
        <w:rPr>
          <w:sz w:val="28"/>
          <w:szCs w:val="28"/>
          <w:lang w:val="uk-UA"/>
        </w:rPr>
        <w:t xml:space="preserve"> </w:t>
      </w:r>
      <w:r w:rsidRPr="00796401">
        <w:rPr>
          <w:sz w:val="28"/>
          <w:szCs w:val="28"/>
          <w:lang w:val="uk-UA"/>
        </w:rPr>
        <w:t xml:space="preserve">млн. </w:t>
      </w:r>
      <w:r w:rsidR="00DA676A" w:rsidRPr="00796401">
        <w:rPr>
          <w:sz w:val="28"/>
          <w:szCs w:val="28"/>
          <w:lang w:val="uk-UA"/>
        </w:rPr>
        <w:t>грн</w:t>
      </w:r>
      <w:r w:rsidRPr="00796401">
        <w:rPr>
          <w:sz w:val="28"/>
          <w:szCs w:val="28"/>
          <w:lang w:val="uk-UA"/>
        </w:rPr>
        <w:t xml:space="preserve"> (</w:t>
      </w:r>
      <w:r w:rsidR="0014023F" w:rsidRPr="00796401">
        <w:rPr>
          <w:sz w:val="28"/>
          <w:szCs w:val="28"/>
          <w:lang w:val="uk-UA"/>
        </w:rPr>
        <w:t>2021 рік – 49,8</w:t>
      </w:r>
      <w:r w:rsidRPr="00796401">
        <w:rPr>
          <w:sz w:val="28"/>
          <w:szCs w:val="28"/>
          <w:lang w:val="uk-UA"/>
        </w:rPr>
        <w:t xml:space="preserve"> млн. грн</w:t>
      </w:r>
      <w:r w:rsidR="00C914B8">
        <w:rPr>
          <w:sz w:val="28"/>
          <w:szCs w:val="28"/>
          <w:lang w:val="uk-UA"/>
        </w:rPr>
        <w:t>, 2022 рік – 65,8 млн. грн</w:t>
      </w:r>
      <w:r w:rsidR="00F124BF">
        <w:rPr>
          <w:sz w:val="28"/>
          <w:szCs w:val="28"/>
          <w:lang w:val="uk-UA"/>
        </w:rPr>
        <w:t>, 2023 рік – 73,6 млн. грн</w:t>
      </w:r>
      <w:r w:rsidRPr="00796401">
        <w:rPr>
          <w:sz w:val="28"/>
          <w:szCs w:val="28"/>
          <w:lang w:val="uk-UA"/>
        </w:rPr>
        <w:t>);</w:t>
      </w:r>
      <w:r w:rsidR="00C044CD">
        <w:rPr>
          <w:sz w:val="28"/>
          <w:szCs w:val="28"/>
          <w:lang w:val="uk-UA"/>
        </w:rPr>
        <w:t xml:space="preserve"> відсоток банків на залишки коштів</w:t>
      </w:r>
      <w:r w:rsidR="00D760CA">
        <w:rPr>
          <w:sz w:val="28"/>
          <w:szCs w:val="28"/>
          <w:lang w:val="uk-UA"/>
        </w:rPr>
        <w:t xml:space="preserve"> – </w:t>
      </w:r>
      <w:r w:rsidR="00E110C8" w:rsidRPr="00E110C8">
        <w:rPr>
          <w:b/>
          <w:sz w:val="28"/>
          <w:szCs w:val="28"/>
          <w:lang w:val="uk-UA"/>
        </w:rPr>
        <w:t>15,5</w:t>
      </w:r>
      <w:r w:rsidR="00E110C8">
        <w:rPr>
          <w:sz w:val="28"/>
          <w:szCs w:val="28"/>
          <w:lang w:val="uk-UA"/>
        </w:rPr>
        <w:t xml:space="preserve"> млн. грн (2023 рік </w:t>
      </w:r>
      <w:r w:rsidR="00E110C8" w:rsidRPr="00E110C8">
        <w:rPr>
          <w:sz w:val="28"/>
          <w:szCs w:val="28"/>
          <w:lang w:val="uk-UA"/>
        </w:rPr>
        <w:t xml:space="preserve">- </w:t>
      </w:r>
      <w:r w:rsidR="00D760CA" w:rsidRPr="00E110C8">
        <w:rPr>
          <w:sz w:val="28"/>
          <w:szCs w:val="28"/>
          <w:lang w:val="uk-UA"/>
        </w:rPr>
        <w:t>18,7</w:t>
      </w:r>
      <w:r w:rsidR="00D760CA">
        <w:rPr>
          <w:sz w:val="28"/>
          <w:szCs w:val="28"/>
          <w:lang w:val="uk-UA"/>
        </w:rPr>
        <w:t xml:space="preserve"> млн. грн</w:t>
      </w:r>
      <w:r w:rsidR="00E110C8">
        <w:rPr>
          <w:sz w:val="28"/>
          <w:szCs w:val="28"/>
          <w:lang w:val="uk-UA"/>
        </w:rPr>
        <w:t>)</w:t>
      </w:r>
      <w:r w:rsidR="00D760CA">
        <w:rPr>
          <w:sz w:val="28"/>
          <w:szCs w:val="28"/>
          <w:lang w:val="uk-UA"/>
        </w:rPr>
        <w:t>;</w:t>
      </w:r>
      <w:r w:rsidR="00CD5594">
        <w:rPr>
          <w:sz w:val="28"/>
          <w:szCs w:val="28"/>
          <w:lang w:val="uk-UA"/>
        </w:rPr>
        <w:t xml:space="preserve"> реалізація майна – </w:t>
      </w:r>
      <w:r w:rsidR="00CD5594" w:rsidRPr="00CD5594">
        <w:rPr>
          <w:b/>
          <w:sz w:val="28"/>
          <w:szCs w:val="28"/>
          <w:lang w:val="uk-UA"/>
        </w:rPr>
        <w:t>2,2</w:t>
      </w:r>
      <w:r w:rsidR="00CD5594">
        <w:rPr>
          <w:sz w:val="28"/>
          <w:szCs w:val="28"/>
          <w:lang w:val="uk-UA"/>
        </w:rPr>
        <w:t xml:space="preserve"> млн. грн.</w:t>
      </w:r>
    </w:p>
    <w:p w:rsidR="00C44E72" w:rsidRPr="00796401" w:rsidRDefault="00C44E72" w:rsidP="00F92A4D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DA676A" w:rsidRPr="00C914B8" w:rsidRDefault="00DA676A" w:rsidP="00C07DF6">
      <w:pPr>
        <w:pStyle w:val="a3"/>
        <w:numPr>
          <w:ilvl w:val="0"/>
          <w:numId w:val="18"/>
        </w:numPr>
        <w:ind w:left="0" w:firstLine="0"/>
        <w:jc w:val="both"/>
        <w:rPr>
          <w:sz w:val="28"/>
          <w:szCs w:val="28"/>
          <w:lang w:val="uk-UA"/>
        </w:rPr>
      </w:pPr>
      <w:r w:rsidRPr="00796401">
        <w:rPr>
          <w:sz w:val="28"/>
          <w:szCs w:val="28"/>
          <w:lang w:val="uk-UA"/>
        </w:rPr>
        <w:t>плата за оренду комунального майна –</w:t>
      </w:r>
      <w:r w:rsidR="00A14B68">
        <w:rPr>
          <w:sz w:val="28"/>
          <w:szCs w:val="28"/>
          <w:lang w:val="uk-UA"/>
        </w:rPr>
        <w:t xml:space="preserve"> </w:t>
      </w:r>
      <w:r w:rsidR="00AC3E52">
        <w:rPr>
          <w:b/>
          <w:sz w:val="28"/>
          <w:szCs w:val="28"/>
          <w:lang w:val="uk-UA"/>
        </w:rPr>
        <w:t>9,2</w:t>
      </w:r>
      <w:r w:rsidR="001011E1">
        <w:rPr>
          <w:sz w:val="28"/>
          <w:szCs w:val="28"/>
          <w:lang w:val="uk-UA"/>
        </w:rPr>
        <w:t xml:space="preserve"> </w:t>
      </w:r>
      <w:r w:rsidR="00F92A4D">
        <w:rPr>
          <w:sz w:val="28"/>
          <w:szCs w:val="28"/>
          <w:lang w:val="uk-UA"/>
        </w:rPr>
        <w:t xml:space="preserve">млн. грн </w:t>
      </w:r>
      <w:r w:rsidR="00F92A4D" w:rsidRPr="00C914B8">
        <w:rPr>
          <w:sz w:val="28"/>
          <w:szCs w:val="28"/>
          <w:lang w:val="uk-UA"/>
        </w:rPr>
        <w:t>(2021 рік – 2,6 млн. </w:t>
      </w:r>
      <w:r w:rsidR="00C914B8">
        <w:rPr>
          <w:sz w:val="28"/>
          <w:szCs w:val="28"/>
          <w:lang w:val="uk-UA"/>
        </w:rPr>
        <w:t>грн, 2022 рік – 3,7 млн. грн</w:t>
      </w:r>
      <w:r w:rsidR="00AC3E52">
        <w:rPr>
          <w:sz w:val="28"/>
          <w:szCs w:val="28"/>
          <w:lang w:val="uk-UA"/>
        </w:rPr>
        <w:t>, 2023 рік – 4,2 млн. грн</w:t>
      </w:r>
      <w:r w:rsidRPr="00C914B8">
        <w:rPr>
          <w:sz w:val="28"/>
          <w:szCs w:val="28"/>
          <w:lang w:val="uk-UA"/>
        </w:rPr>
        <w:t>);</w:t>
      </w:r>
    </w:p>
    <w:p w:rsidR="00C44E72" w:rsidRPr="00C44E72" w:rsidRDefault="00C44E72" w:rsidP="00F92A4D">
      <w:pPr>
        <w:pStyle w:val="a3"/>
        <w:rPr>
          <w:sz w:val="28"/>
          <w:szCs w:val="28"/>
          <w:lang w:val="uk-UA"/>
        </w:rPr>
      </w:pPr>
    </w:p>
    <w:p w:rsidR="008D06CB" w:rsidRDefault="00A14B68" w:rsidP="00F92A4D">
      <w:pPr>
        <w:pStyle w:val="a3"/>
        <w:numPr>
          <w:ilvl w:val="0"/>
          <w:numId w:val="18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благодійні кошти</w:t>
      </w:r>
      <w:r w:rsidR="00CD5594">
        <w:rPr>
          <w:sz w:val="28"/>
          <w:szCs w:val="28"/>
          <w:lang w:val="uk-UA"/>
        </w:rPr>
        <w:t>, гранти</w:t>
      </w:r>
      <w:r>
        <w:rPr>
          <w:sz w:val="28"/>
          <w:szCs w:val="28"/>
          <w:lang w:val="uk-UA"/>
        </w:rPr>
        <w:t xml:space="preserve"> – </w:t>
      </w:r>
      <w:r w:rsidR="006170E6">
        <w:rPr>
          <w:b/>
          <w:sz w:val="28"/>
          <w:szCs w:val="28"/>
          <w:lang w:val="uk-UA"/>
        </w:rPr>
        <w:t>3,2</w:t>
      </w:r>
      <w:r w:rsidR="00DA676A" w:rsidRPr="00796401">
        <w:rPr>
          <w:sz w:val="28"/>
          <w:szCs w:val="28"/>
          <w:lang w:val="uk-UA"/>
        </w:rPr>
        <w:t xml:space="preserve"> млн. грн (2021</w:t>
      </w:r>
      <w:r w:rsidR="00611552" w:rsidRPr="00796401">
        <w:rPr>
          <w:sz w:val="28"/>
          <w:szCs w:val="28"/>
          <w:lang w:val="uk-UA"/>
        </w:rPr>
        <w:t xml:space="preserve"> рік – 1,2</w:t>
      </w:r>
      <w:r>
        <w:rPr>
          <w:sz w:val="28"/>
          <w:szCs w:val="28"/>
          <w:lang w:val="uk-UA"/>
        </w:rPr>
        <w:t xml:space="preserve"> млн. грн, 2022 рік – 0,9 млн. грн</w:t>
      </w:r>
      <w:r w:rsidR="006170E6">
        <w:rPr>
          <w:sz w:val="28"/>
          <w:szCs w:val="28"/>
          <w:lang w:val="uk-UA"/>
        </w:rPr>
        <w:t>, 2023 рік – 1,0 млн. грн</w:t>
      </w:r>
      <w:r w:rsidR="00DA676A" w:rsidRPr="00796401">
        <w:rPr>
          <w:sz w:val="28"/>
          <w:szCs w:val="28"/>
          <w:lang w:val="uk-UA"/>
        </w:rPr>
        <w:t>)</w:t>
      </w:r>
      <w:r w:rsidR="00EF0394">
        <w:rPr>
          <w:sz w:val="28"/>
          <w:szCs w:val="28"/>
          <w:lang w:val="uk-UA"/>
        </w:rPr>
        <w:t>.</w:t>
      </w:r>
    </w:p>
    <w:p w:rsidR="00422729" w:rsidRPr="00422729" w:rsidRDefault="00422729" w:rsidP="00422729">
      <w:pPr>
        <w:pStyle w:val="a8"/>
        <w:keepNext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ДИНАМІКА НАДХОДЖЕНЬ, в млн. грн </w:t>
      </w:r>
    </w:p>
    <w:p w:rsidR="00422729" w:rsidRDefault="008D06CB" w:rsidP="00422729">
      <w:pPr>
        <w:keepNext/>
        <w:jc w:val="both"/>
      </w:pPr>
      <w:r w:rsidRPr="00015AC9">
        <w:rPr>
          <w:noProof/>
          <w:color w:val="C2D69B" w:themeColor="accent3" w:themeTint="99"/>
          <w:sz w:val="28"/>
          <w:szCs w:val="28"/>
          <w:lang w:val="ru-RU" w:eastAsia="ru-RU"/>
        </w:rPr>
        <w:drawing>
          <wp:inline distT="0" distB="0" distL="0" distR="0">
            <wp:extent cx="6076950" cy="3343275"/>
            <wp:effectExtent l="57150" t="19050" r="381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F779A" w:rsidRDefault="005F779A" w:rsidP="005F779A">
      <w:pPr>
        <w:pStyle w:val="a8"/>
        <w:jc w:val="both"/>
      </w:pPr>
    </w:p>
    <w:p w:rsidR="005F779A" w:rsidRDefault="005F779A" w:rsidP="005F779A">
      <w:pPr>
        <w:pStyle w:val="a8"/>
        <w:jc w:val="both"/>
      </w:pPr>
    </w:p>
    <w:p w:rsidR="005F779A" w:rsidRPr="005F779A" w:rsidRDefault="00315387" w:rsidP="005F779A">
      <w:pPr>
        <w:pStyle w:val="a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ПИТОМА ВАГА В СТРУКТУРІ НАДХОДЖЕН</w:t>
      </w:r>
      <w:r w:rsidR="005F779A" w:rsidRPr="005F7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Ь, % </w:t>
      </w:r>
      <w:r w:rsidR="00C044CD" w:rsidRPr="00796401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167120" cy="4572000"/>
            <wp:effectExtent l="57150" t="19050" r="2413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53804" w:rsidRDefault="00396137" w:rsidP="007964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ПИТОМА ВАГА ВИТРАТ ПІДПРИЄМСТВ</w:t>
      </w:r>
      <w:r w:rsidR="00453804" w:rsidRPr="000D0B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6149E">
        <w:rPr>
          <w:rFonts w:ascii="Times New Roman" w:hAnsi="Times New Roman" w:cs="Times New Roman"/>
          <w:b/>
          <w:sz w:val="28"/>
          <w:szCs w:val="28"/>
        </w:rPr>
        <w:t xml:space="preserve">ВСЬОГО </w:t>
      </w:r>
      <w:r w:rsidR="00453804" w:rsidRPr="000D0B2E">
        <w:rPr>
          <w:rFonts w:ascii="Times New Roman" w:hAnsi="Times New Roman" w:cs="Times New Roman"/>
          <w:b/>
          <w:sz w:val="28"/>
          <w:szCs w:val="28"/>
        </w:rPr>
        <w:t>%</w:t>
      </w:r>
    </w:p>
    <w:p w:rsidR="0006149E" w:rsidRPr="000D0B2E" w:rsidRDefault="0006149E" w:rsidP="007964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DAB" w:rsidRDefault="009B7DAB" w:rsidP="007964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68E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6029325" cy="3067050"/>
            <wp:effectExtent l="57150" t="19050" r="85725" b="3810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A542D" w:rsidRDefault="00EA542D" w:rsidP="007964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82" w:rsidRDefault="000B0782" w:rsidP="007964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82" w:rsidRDefault="000B0782" w:rsidP="007964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79A" w:rsidRDefault="007F7D55" w:rsidP="007964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ВИТРАТ ПІДПРИЄМСТВА</w:t>
      </w:r>
      <w:r w:rsidR="001D2D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7D55" w:rsidRDefault="00DF279A" w:rsidP="007964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79A">
        <w:rPr>
          <w:rFonts w:ascii="Times New Roman" w:hAnsi="Times New Roman" w:cs="Times New Roman"/>
          <w:b/>
          <w:sz w:val="28"/>
          <w:szCs w:val="28"/>
          <w:u w:val="single"/>
        </w:rPr>
        <w:t>(надходження від НСЗУ)</w:t>
      </w:r>
      <w:r w:rsidR="007F7D55">
        <w:rPr>
          <w:rFonts w:ascii="Times New Roman" w:hAnsi="Times New Roman" w:cs="Times New Roman"/>
          <w:b/>
          <w:sz w:val="28"/>
          <w:szCs w:val="28"/>
        </w:rPr>
        <w:t>, %</w:t>
      </w:r>
    </w:p>
    <w:p w:rsidR="00426BF3" w:rsidRPr="000D0B2E" w:rsidRDefault="003C1311" w:rsidP="003C1311">
      <w:pPr>
        <w:shd w:val="clear" w:color="auto" w:fill="FFFFFF"/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76500" cy="4714875"/>
            <wp:effectExtent l="95250" t="19050" r="57150" b="666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927060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2571750" cy="4714875"/>
            <wp:effectExtent l="95250" t="19050" r="76200" b="6667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6BF3" w:rsidRDefault="00426BF3" w:rsidP="00446F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A2F" w:rsidRDefault="00802F9A" w:rsidP="00C26A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B2E">
        <w:rPr>
          <w:rFonts w:ascii="Times New Roman" w:hAnsi="Times New Roman" w:cs="Times New Roman"/>
          <w:sz w:val="28"/>
          <w:szCs w:val="28"/>
        </w:rPr>
        <w:t>За рахунок коштів, отриманих від НСЗУ</w:t>
      </w:r>
      <w:r w:rsidR="00F672A4">
        <w:rPr>
          <w:rFonts w:ascii="Times New Roman" w:hAnsi="Times New Roman" w:cs="Times New Roman"/>
          <w:sz w:val="28"/>
          <w:szCs w:val="28"/>
        </w:rPr>
        <w:t>,</w:t>
      </w:r>
      <w:r w:rsidR="00964A39">
        <w:rPr>
          <w:rFonts w:ascii="Times New Roman" w:hAnsi="Times New Roman" w:cs="Times New Roman"/>
          <w:sz w:val="28"/>
          <w:szCs w:val="28"/>
        </w:rPr>
        <w:t xml:space="preserve"> надання платних послуг, в тому числі від оренди приміщень</w:t>
      </w:r>
      <w:r w:rsidRPr="000D0B2E">
        <w:rPr>
          <w:rFonts w:ascii="Times New Roman" w:hAnsi="Times New Roman" w:cs="Times New Roman"/>
          <w:sz w:val="28"/>
          <w:szCs w:val="28"/>
        </w:rPr>
        <w:t xml:space="preserve">, </w:t>
      </w:r>
      <w:r w:rsidR="00F672A4">
        <w:rPr>
          <w:rFonts w:ascii="Times New Roman" w:hAnsi="Times New Roman" w:cs="Times New Roman"/>
          <w:sz w:val="28"/>
          <w:szCs w:val="28"/>
        </w:rPr>
        <w:t xml:space="preserve">благодійної допомоги та грантів </w:t>
      </w:r>
      <w:r w:rsidRPr="000D0B2E">
        <w:rPr>
          <w:rFonts w:ascii="Times New Roman" w:hAnsi="Times New Roman" w:cs="Times New Roman"/>
          <w:sz w:val="28"/>
          <w:szCs w:val="28"/>
        </w:rPr>
        <w:t xml:space="preserve">комунальними підприємствами оновлено матеріально – технічну базу </w:t>
      </w:r>
      <w:r w:rsidR="003D57C7">
        <w:rPr>
          <w:rFonts w:ascii="Times New Roman" w:hAnsi="Times New Roman" w:cs="Times New Roman"/>
          <w:i/>
          <w:sz w:val="28"/>
          <w:szCs w:val="28"/>
        </w:rPr>
        <w:t>(придбано</w:t>
      </w:r>
      <w:r w:rsidR="005B6F4A" w:rsidRPr="002231B0">
        <w:rPr>
          <w:rFonts w:ascii="Times New Roman" w:hAnsi="Times New Roman" w:cs="Times New Roman"/>
          <w:i/>
          <w:sz w:val="28"/>
          <w:szCs w:val="28"/>
        </w:rPr>
        <w:t xml:space="preserve"> обладнання довгострокового користування та дороговартісного обладнання</w:t>
      </w:r>
      <w:r w:rsidR="000A02D9">
        <w:rPr>
          <w:rFonts w:ascii="Times New Roman" w:hAnsi="Times New Roman" w:cs="Times New Roman"/>
          <w:i/>
          <w:sz w:val="28"/>
          <w:szCs w:val="28"/>
        </w:rPr>
        <w:t xml:space="preserve"> та проведено капітальні ремонти приміщень</w:t>
      </w:r>
      <w:r w:rsidR="005B6F4A" w:rsidRPr="002231B0">
        <w:rPr>
          <w:rFonts w:ascii="Times New Roman" w:hAnsi="Times New Roman" w:cs="Times New Roman"/>
          <w:i/>
          <w:sz w:val="28"/>
          <w:szCs w:val="28"/>
        </w:rPr>
        <w:t>)</w:t>
      </w:r>
      <w:r w:rsidR="005B6F4A">
        <w:rPr>
          <w:rFonts w:ascii="Times New Roman" w:hAnsi="Times New Roman" w:cs="Times New Roman"/>
          <w:sz w:val="28"/>
          <w:szCs w:val="28"/>
        </w:rPr>
        <w:t xml:space="preserve"> </w:t>
      </w:r>
      <w:r w:rsidRPr="000D0B2E">
        <w:rPr>
          <w:rFonts w:ascii="Times New Roman" w:hAnsi="Times New Roman" w:cs="Times New Roman"/>
          <w:sz w:val="28"/>
          <w:szCs w:val="28"/>
        </w:rPr>
        <w:t xml:space="preserve">на </w:t>
      </w:r>
      <w:r w:rsidRPr="00AA339D">
        <w:rPr>
          <w:rFonts w:ascii="Times New Roman" w:hAnsi="Times New Roman" w:cs="Times New Roman"/>
          <w:b/>
          <w:sz w:val="28"/>
          <w:szCs w:val="28"/>
        </w:rPr>
        <w:t xml:space="preserve">суму </w:t>
      </w:r>
      <w:r w:rsidR="007C2AF9">
        <w:rPr>
          <w:rFonts w:ascii="Times New Roman" w:hAnsi="Times New Roman" w:cs="Times New Roman"/>
          <w:b/>
          <w:sz w:val="28"/>
          <w:szCs w:val="28"/>
        </w:rPr>
        <w:t>79,4</w:t>
      </w:r>
      <w:r w:rsidR="007F3FB4" w:rsidRPr="00AA339D">
        <w:rPr>
          <w:rFonts w:ascii="Times New Roman" w:hAnsi="Times New Roman" w:cs="Times New Roman"/>
          <w:b/>
          <w:sz w:val="28"/>
          <w:szCs w:val="28"/>
        </w:rPr>
        <w:t xml:space="preserve"> млн. грн</w:t>
      </w:r>
      <w:r w:rsidR="007F3FB4">
        <w:rPr>
          <w:rFonts w:ascii="Times New Roman" w:hAnsi="Times New Roman" w:cs="Times New Roman"/>
          <w:sz w:val="28"/>
          <w:szCs w:val="28"/>
        </w:rPr>
        <w:t xml:space="preserve"> (2022 рік - </w:t>
      </w:r>
      <w:r w:rsidRPr="000D0B2E">
        <w:rPr>
          <w:rFonts w:ascii="Times New Roman" w:hAnsi="Times New Roman" w:cs="Times New Roman"/>
          <w:sz w:val="28"/>
          <w:szCs w:val="28"/>
        </w:rPr>
        <w:t xml:space="preserve">95,0 млн. </w:t>
      </w:r>
      <w:r w:rsidR="007344CF" w:rsidRPr="000D0B2E">
        <w:rPr>
          <w:rFonts w:ascii="Times New Roman" w:hAnsi="Times New Roman" w:cs="Times New Roman"/>
          <w:sz w:val="28"/>
          <w:szCs w:val="28"/>
        </w:rPr>
        <w:t>грн</w:t>
      </w:r>
      <w:r w:rsidR="007C2AF9">
        <w:rPr>
          <w:rFonts w:ascii="Times New Roman" w:hAnsi="Times New Roman" w:cs="Times New Roman"/>
          <w:sz w:val="28"/>
          <w:szCs w:val="28"/>
        </w:rPr>
        <w:t>, 2023 рік – 138,0 млн. грн</w:t>
      </w:r>
      <w:r w:rsidR="007F3FB4">
        <w:rPr>
          <w:rFonts w:ascii="Times New Roman" w:hAnsi="Times New Roman" w:cs="Times New Roman"/>
          <w:sz w:val="28"/>
          <w:szCs w:val="28"/>
        </w:rPr>
        <w:t>)</w:t>
      </w:r>
      <w:r w:rsidR="00C26A2F">
        <w:rPr>
          <w:rFonts w:ascii="Times New Roman" w:hAnsi="Times New Roman" w:cs="Times New Roman"/>
          <w:sz w:val="28"/>
          <w:szCs w:val="28"/>
        </w:rPr>
        <w:t xml:space="preserve">, в </w:t>
      </w:r>
      <w:r w:rsidR="007344CF" w:rsidRPr="000D0B2E">
        <w:rPr>
          <w:rFonts w:ascii="Times New Roman" w:hAnsi="Times New Roman" w:cs="Times New Roman"/>
          <w:sz w:val="28"/>
          <w:szCs w:val="28"/>
        </w:rPr>
        <w:t>тому числі</w:t>
      </w:r>
      <w:r w:rsidR="00446F6E" w:rsidRPr="000D0B2E">
        <w:rPr>
          <w:rFonts w:ascii="Times New Roman" w:hAnsi="Times New Roman" w:cs="Times New Roman"/>
          <w:sz w:val="28"/>
          <w:szCs w:val="28"/>
        </w:rPr>
        <w:t>:</w:t>
      </w:r>
    </w:p>
    <w:p w:rsidR="00E412C6" w:rsidRPr="00E412C6" w:rsidRDefault="00051F3E" w:rsidP="00E412C6">
      <w:pPr>
        <w:pStyle w:val="a9"/>
        <w:numPr>
          <w:ilvl w:val="0"/>
          <w:numId w:val="27"/>
        </w:numPr>
        <w:suppressAutoHyphens/>
        <w:spacing w:before="0" w:line="240" w:lineRule="auto"/>
        <w:ind w:left="0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E412C6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E412C6">
        <w:rPr>
          <w:rFonts w:ascii="Times New Roman" w:hAnsi="Times New Roman" w:cs="Times New Roman"/>
          <w:sz w:val="28"/>
          <w:szCs w:val="28"/>
        </w:rPr>
        <w:t xml:space="preserve"> «Медичне об’єднання Луцької місько</w:t>
      </w:r>
      <w:r w:rsidR="00524FF7" w:rsidRPr="00E412C6">
        <w:rPr>
          <w:rFonts w:ascii="Times New Roman" w:hAnsi="Times New Roman" w:cs="Times New Roman"/>
          <w:sz w:val="28"/>
          <w:szCs w:val="28"/>
        </w:rPr>
        <w:t xml:space="preserve">ї територіальної громади» - </w:t>
      </w:r>
      <w:r w:rsidR="000A02D9" w:rsidRPr="00E412C6">
        <w:rPr>
          <w:rFonts w:ascii="Times New Roman" w:hAnsi="Times New Roman" w:cs="Times New Roman"/>
          <w:b/>
          <w:sz w:val="28"/>
          <w:szCs w:val="28"/>
        </w:rPr>
        <w:t>71,7</w:t>
      </w:r>
      <w:r w:rsidR="00D1264A">
        <w:rPr>
          <w:rFonts w:ascii="Times New Roman" w:hAnsi="Times New Roman" w:cs="Times New Roman"/>
          <w:b/>
          <w:sz w:val="28"/>
          <w:szCs w:val="28"/>
        </w:rPr>
        <w:t> </w:t>
      </w:r>
      <w:r w:rsidRPr="00E412C6">
        <w:rPr>
          <w:rFonts w:ascii="Times New Roman" w:hAnsi="Times New Roman" w:cs="Times New Roman"/>
          <w:b/>
          <w:sz w:val="28"/>
          <w:szCs w:val="28"/>
        </w:rPr>
        <w:t>млн. грн</w:t>
      </w:r>
      <w:r w:rsidR="003F255C">
        <w:rPr>
          <w:rFonts w:ascii="Times New Roman" w:hAnsi="Times New Roman" w:cs="Times New Roman"/>
          <w:sz w:val="28"/>
          <w:szCs w:val="28"/>
        </w:rPr>
        <w:t xml:space="preserve">, зокрема, закуплено </w:t>
      </w:r>
      <w:proofErr w:type="spellStart"/>
      <w:r w:rsidR="003F255C">
        <w:rPr>
          <w:rFonts w:ascii="Times New Roman" w:hAnsi="Times New Roman" w:cs="Times New Roman"/>
          <w:sz w:val="28"/>
          <w:szCs w:val="28"/>
        </w:rPr>
        <w:t>відео</w:t>
      </w:r>
      <w:r w:rsidR="00E412C6" w:rsidRPr="00E412C6">
        <w:rPr>
          <w:rFonts w:ascii="Times New Roman" w:hAnsi="Times New Roman" w:cs="Times New Roman"/>
          <w:sz w:val="28"/>
          <w:szCs w:val="28"/>
        </w:rPr>
        <w:t>ендоскопічний</w:t>
      </w:r>
      <w:proofErr w:type="spellEnd"/>
      <w:r w:rsidR="00E412C6" w:rsidRPr="00E412C6">
        <w:rPr>
          <w:rFonts w:ascii="Times New Roman" w:hAnsi="Times New Roman" w:cs="Times New Roman"/>
          <w:sz w:val="28"/>
          <w:szCs w:val="28"/>
        </w:rPr>
        <w:t xml:space="preserve"> комплекс (нейрохірургічний) вартістю 14,0 млн. грн, </w:t>
      </w:r>
      <w:proofErr w:type="spellStart"/>
      <w:r w:rsidR="00E412C6" w:rsidRPr="00E412C6">
        <w:rPr>
          <w:rFonts w:ascii="Times New Roman" w:hAnsi="Times New Roman" w:cs="Times New Roman"/>
          <w:sz w:val="28"/>
          <w:szCs w:val="28"/>
        </w:rPr>
        <w:t>інфузійну</w:t>
      </w:r>
      <w:proofErr w:type="spellEnd"/>
      <w:r w:rsidR="00E412C6" w:rsidRPr="00E412C6">
        <w:rPr>
          <w:rFonts w:ascii="Times New Roman" w:hAnsi="Times New Roman" w:cs="Times New Roman"/>
          <w:sz w:val="28"/>
          <w:szCs w:val="28"/>
        </w:rPr>
        <w:t xml:space="preserve"> робочу станцію вартістю 2,3 млн. грн, систему </w:t>
      </w:r>
      <w:proofErr w:type="spellStart"/>
      <w:r w:rsidR="00E412C6" w:rsidRPr="00E412C6">
        <w:rPr>
          <w:rFonts w:ascii="Times New Roman" w:hAnsi="Times New Roman" w:cs="Times New Roman"/>
          <w:sz w:val="28"/>
          <w:szCs w:val="28"/>
        </w:rPr>
        <w:t>лор-огляду</w:t>
      </w:r>
      <w:proofErr w:type="spellEnd"/>
      <w:r w:rsidR="00E412C6" w:rsidRPr="00E412C6">
        <w:rPr>
          <w:rFonts w:ascii="Times New Roman" w:hAnsi="Times New Roman" w:cs="Times New Roman"/>
          <w:sz w:val="28"/>
          <w:szCs w:val="28"/>
        </w:rPr>
        <w:t xml:space="preserve"> вартістю 2,1 млн. грн, ультразвукову систему </w:t>
      </w:r>
      <w:proofErr w:type="spellStart"/>
      <w:r w:rsidR="00E412C6" w:rsidRPr="00E412C6">
        <w:rPr>
          <w:rFonts w:ascii="Times New Roman" w:hAnsi="Times New Roman" w:cs="Times New Roman"/>
          <w:sz w:val="28"/>
          <w:szCs w:val="28"/>
          <w:lang w:val="en-US"/>
        </w:rPr>
        <w:t>Affiniti</w:t>
      </w:r>
      <w:proofErr w:type="spellEnd"/>
      <w:r w:rsidR="003F255C">
        <w:rPr>
          <w:rFonts w:ascii="Times New Roman" w:hAnsi="Times New Roman" w:cs="Times New Roman"/>
          <w:sz w:val="28"/>
          <w:szCs w:val="28"/>
        </w:rPr>
        <w:t xml:space="preserve"> 4,</w:t>
      </w:r>
      <w:r w:rsidR="00E412C6" w:rsidRPr="00E412C6">
        <w:rPr>
          <w:rFonts w:ascii="Times New Roman" w:hAnsi="Times New Roman" w:cs="Times New Roman"/>
          <w:sz w:val="28"/>
          <w:szCs w:val="28"/>
        </w:rPr>
        <w:t xml:space="preserve">6 млн. грн, </w:t>
      </w:r>
      <w:proofErr w:type="spellStart"/>
      <w:r w:rsidR="00E412C6" w:rsidRPr="00E412C6">
        <w:rPr>
          <w:rFonts w:ascii="Times New Roman" w:hAnsi="Times New Roman" w:cs="Times New Roman"/>
          <w:sz w:val="28"/>
          <w:szCs w:val="28"/>
        </w:rPr>
        <w:t>відеогастроскоп</w:t>
      </w:r>
      <w:proofErr w:type="spellEnd"/>
      <w:r w:rsidR="00E412C6" w:rsidRPr="00E412C6">
        <w:rPr>
          <w:rFonts w:ascii="Times New Roman" w:hAnsi="Times New Roman" w:cs="Times New Roman"/>
          <w:sz w:val="28"/>
          <w:szCs w:val="28"/>
        </w:rPr>
        <w:t xml:space="preserve"> вартістю 10,2 </w:t>
      </w:r>
      <w:r w:rsidR="003F255C">
        <w:rPr>
          <w:rFonts w:ascii="Times New Roman" w:hAnsi="Times New Roman" w:cs="Times New Roman"/>
          <w:sz w:val="28"/>
          <w:szCs w:val="28"/>
        </w:rPr>
        <w:t xml:space="preserve">млн. грн, устаткування для </w:t>
      </w:r>
      <w:proofErr w:type="spellStart"/>
      <w:r w:rsidR="003F255C">
        <w:rPr>
          <w:rFonts w:ascii="Times New Roman" w:hAnsi="Times New Roman" w:cs="Times New Roman"/>
          <w:sz w:val="28"/>
          <w:szCs w:val="28"/>
        </w:rPr>
        <w:t>опер</w:t>
      </w:r>
      <w:r w:rsidR="00E412C6" w:rsidRPr="00E412C6">
        <w:rPr>
          <w:rFonts w:ascii="Times New Roman" w:hAnsi="Times New Roman" w:cs="Times New Roman"/>
          <w:sz w:val="28"/>
          <w:szCs w:val="28"/>
        </w:rPr>
        <w:t>блоків</w:t>
      </w:r>
      <w:proofErr w:type="spellEnd"/>
      <w:r w:rsidR="00E412C6" w:rsidRPr="00E412C6">
        <w:rPr>
          <w:rFonts w:ascii="Times New Roman" w:hAnsi="Times New Roman" w:cs="Times New Roman"/>
          <w:sz w:val="28"/>
          <w:szCs w:val="28"/>
        </w:rPr>
        <w:t xml:space="preserve"> на суму 4,0 млн. грн; проведений капітальний ремонт з заміною ліфта (проспект Волі, 66) на суму 2,0 млн. грн.</w:t>
      </w:r>
    </w:p>
    <w:p w:rsidR="001B66C3" w:rsidRPr="001B66C3" w:rsidRDefault="001B66C3" w:rsidP="00964EB8">
      <w:pPr>
        <w:pStyle w:val="a9"/>
        <w:suppressAutoHyphens/>
        <w:spacing w:before="0"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B66C3">
        <w:rPr>
          <w:rFonts w:ascii="Times New Roman" w:hAnsi="Times New Roman" w:cs="Times New Roman"/>
          <w:color w:val="auto"/>
          <w:sz w:val="28"/>
          <w:szCs w:val="28"/>
        </w:rPr>
        <w:t xml:space="preserve">01.04.2024 </w:t>
      </w:r>
      <w:r w:rsidRPr="001B66C3">
        <w:rPr>
          <w:rFonts w:ascii="Times New Roman" w:hAnsi="Times New Roman" w:cs="Times New Roman"/>
          <w:bCs/>
          <w:color w:val="auto"/>
          <w:sz w:val="28"/>
          <w:szCs w:val="28"/>
        </w:rPr>
        <w:t>відкрито оновлене відділення реабілітації у корпусі на вул. Г.</w:t>
      </w:r>
      <w:proofErr w:type="spellStart"/>
      <w:r w:rsidRPr="001B66C3">
        <w:rPr>
          <w:rFonts w:ascii="Times New Roman" w:hAnsi="Times New Roman" w:cs="Times New Roman"/>
          <w:bCs/>
          <w:color w:val="auto"/>
          <w:sz w:val="28"/>
          <w:szCs w:val="28"/>
        </w:rPr>
        <w:t>Артемовського</w:t>
      </w:r>
      <w:proofErr w:type="spellEnd"/>
      <w:r w:rsidRPr="001B66C3">
        <w:rPr>
          <w:rFonts w:ascii="Times New Roman" w:hAnsi="Times New Roman" w:cs="Times New Roman"/>
          <w:color w:val="auto"/>
          <w:sz w:val="28"/>
          <w:szCs w:val="28"/>
        </w:rPr>
        <w:t xml:space="preserve"> та розгорнуто 40 ліжок відновного лікування для дорослих. </w:t>
      </w:r>
      <w:r w:rsidRPr="001B66C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новому місці відділення реабілітації </w:t>
      </w:r>
      <w:proofErr w:type="spellStart"/>
      <w:r w:rsidRPr="001B66C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облаштоване</w:t>
      </w:r>
      <w:proofErr w:type="spellEnd"/>
      <w:r w:rsidRPr="001B66C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 дотриманням всіх умов, які передбачені вимогами до організації стаціонарного відділення для надання реабілітаційної допомоги.</w:t>
      </w:r>
    </w:p>
    <w:p w:rsidR="001B66C3" w:rsidRPr="001B66C3" w:rsidRDefault="001B66C3" w:rsidP="001B66C3">
      <w:pPr>
        <w:pStyle w:val="a9"/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66C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01.05.2024 </w:t>
      </w:r>
      <w:r w:rsidRPr="001B66C3">
        <w:rPr>
          <w:rFonts w:ascii="Times New Roman" w:hAnsi="Times New Roman" w:cs="Times New Roman"/>
          <w:bCs/>
          <w:color w:val="auto"/>
          <w:sz w:val="28"/>
          <w:szCs w:val="28"/>
        </w:rPr>
        <w:t>запроваджено надання паліативної допомоги у стаціонарних умовах</w:t>
      </w:r>
      <w:r w:rsidRPr="001B66C3">
        <w:rPr>
          <w:rFonts w:ascii="Times New Roman" w:hAnsi="Times New Roman" w:cs="Times New Roman"/>
          <w:color w:val="auto"/>
          <w:sz w:val="28"/>
          <w:szCs w:val="28"/>
        </w:rPr>
        <w:t>. Проведено поточний ремонт приміщень ІІ поверху корпусу на Г.</w:t>
      </w:r>
      <w:proofErr w:type="spellStart"/>
      <w:r w:rsidRPr="001B66C3">
        <w:rPr>
          <w:rFonts w:ascii="Times New Roman" w:hAnsi="Times New Roman" w:cs="Times New Roman"/>
          <w:color w:val="auto"/>
          <w:sz w:val="28"/>
          <w:szCs w:val="28"/>
        </w:rPr>
        <w:t>Артемовського</w:t>
      </w:r>
      <w:proofErr w:type="spellEnd"/>
      <w:r w:rsidRPr="001B66C3">
        <w:rPr>
          <w:rFonts w:ascii="Times New Roman" w:hAnsi="Times New Roman" w:cs="Times New Roman"/>
          <w:color w:val="auto"/>
          <w:sz w:val="28"/>
          <w:szCs w:val="28"/>
        </w:rPr>
        <w:t xml:space="preserve"> та розгорнуто 20 ліжок паліативної допомоги для дорослих. </w:t>
      </w:r>
    </w:p>
    <w:p w:rsidR="000C7B21" w:rsidRDefault="00527EB6" w:rsidP="000C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межах</w:t>
      </w:r>
      <w:r w:rsidR="001B66C3" w:rsidRPr="000C7B21">
        <w:rPr>
          <w:rFonts w:ascii="Times New Roman" w:hAnsi="Times New Roman" w:cs="Times New Roman"/>
          <w:sz w:val="28"/>
          <w:szCs w:val="28"/>
        </w:rPr>
        <w:t xml:space="preserve"> спільного зі Світовим банком проєкту МОЗ «Додаткове фінансування проєкту «Екстрене реагування на COVID-19 та вакцинація в Україні» в закладі було виконано роботи з облаштування приміщення </w:t>
      </w:r>
      <w:proofErr w:type="spellStart"/>
      <w:r w:rsidR="001B66C3" w:rsidRPr="000C7B21">
        <w:rPr>
          <w:rFonts w:ascii="Times New Roman" w:hAnsi="Times New Roman" w:cs="Times New Roman"/>
          <w:sz w:val="28"/>
          <w:szCs w:val="28"/>
        </w:rPr>
        <w:t>дезстанції</w:t>
      </w:r>
      <w:proofErr w:type="spellEnd"/>
      <w:r w:rsidR="001B66C3" w:rsidRPr="000C7B21">
        <w:rPr>
          <w:rFonts w:ascii="Times New Roman" w:hAnsi="Times New Roman" w:cs="Times New Roman"/>
          <w:sz w:val="28"/>
          <w:szCs w:val="28"/>
        </w:rPr>
        <w:t xml:space="preserve"> (проведено за рахунок власних коштів роботи з забезпечення водопостачання обладнання та водовідведення використаної води високої температури, </w:t>
      </w:r>
      <w:proofErr w:type="spellStart"/>
      <w:r w:rsidR="001B66C3" w:rsidRPr="000C7B21">
        <w:rPr>
          <w:rFonts w:ascii="Times New Roman" w:hAnsi="Times New Roman" w:cs="Times New Roman"/>
          <w:sz w:val="28"/>
          <w:szCs w:val="28"/>
        </w:rPr>
        <w:t>підведено</w:t>
      </w:r>
      <w:proofErr w:type="spellEnd"/>
      <w:r w:rsidR="001B66C3" w:rsidRPr="000C7B21">
        <w:rPr>
          <w:rFonts w:ascii="Times New Roman" w:hAnsi="Times New Roman" w:cs="Times New Roman"/>
          <w:sz w:val="28"/>
          <w:szCs w:val="28"/>
        </w:rPr>
        <w:t xml:space="preserve"> електропостачання, </w:t>
      </w:r>
      <w:proofErr w:type="spellStart"/>
      <w:r w:rsidR="001B66C3" w:rsidRPr="000C7B21">
        <w:rPr>
          <w:rFonts w:ascii="Times New Roman" w:hAnsi="Times New Roman" w:cs="Times New Roman"/>
          <w:sz w:val="28"/>
          <w:szCs w:val="28"/>
        </w:rPr>
        <w:t>облаштовано</w:t>
      </w:r>
      <w:proofErr w:type="spellEnd"/>
      <w:r w:rsidR="001B66C3" w:rsidRPr="000C7B21">
        <w:rPr>
          <w:rFonts w:ascii="Times New Roman" w:hAnsi="Times New Roman" w:cs="Times New Roman"/>
          <w:sz w:val="28"/>
          <w:szCs w:val="28"/>
        </w:rPr>
        <w:t xml:space="preserve"> систему вентиляції – вартість яких склала 1,4 млн. грн) та встановлено стерилізатор (утилізатор) для </w:t>
      </w:r>
      <w:proofErr w:type="spellStart"/>
      <w:r w:rsidR="001B66C3" w:rsidRPr="000C7B21">
        <w:rPr>
          <w:rFonts w:ascii="Times New Roman" w:hAnsi="Times New Roman" w:cs="Times New Roman"/>
          <w:sz w:val="28"/>
          <w:szCs w:val="28"/>
        </w:rPr>
        <w:t>деконтамінації</w:t>
      </w:r>
      <w:proofErr w:type="spellEnd"/>
      <w:r w:rsidR="001B66C3" w:rsidRPr="000C7B21">
        <w:rPr>
          <w:rFonts w:ascii="Times New Roman" w:hAnsi="Times New Roman" w:cs="Times New Roman"/>
          <w:sz w:val="28"/>
          <w:szCs w:val="28"/>
        </w:rPr>
        <w:t xml:space="preserve"> медичних відходів </w:t>
      </w:r>
      <w:proofErr w:type="spellStart"/>
      <w:r w:rsidR="001B66C3" w:rsidRPr="000C7B21">
        <w:rPr>
          <w:rFonts w:ascii="Times New Roman" w:hAnsi="Times New Roman" w:cs="Times New Roman"/>
          <w:sz w:val="28"/>
          <w:szCs w:val="28"/>
        </w:rPr>
        <w:t>Matachana</w:t>
      </w:r>
      <w:proofErr w:type="spellEnd"/>
      <w:r w:rsidR="001B66C3" w:rsidRPr="000C7B21">
        <w:rPr>
          <w:rFonts w:ascii="Times New Roman" w:hAnsi="Times New Roman" w:cs="Times New Roman"/>
          <w:sz w:val="28"/>
          <w:szCs w:val="28"/>
        </w:rPr>
        <w:t xml:space="preserve"> вартістю 6,0 млн. грн.</w:t>
      </w:r>
    </w:p>
    <w:p w:rsidR="000C7B21" w:rsidRDefault="000C7B21" w:rsidP="000C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7B21">
        <w:rPr>
          <w:rFonts w:ascii="Times New Roman" w:hAnsi="Times New Roman" w:cs="Times New Roman"/>
          <w:sz w:val="28"/>
          <w:szCs w:val="28"/>
        </w:rPr>
        <w:t>ридбано хірургічний інструментарій, системи ендоскопічної візуалізації, реабілітаційне обладнання, лабораторні аналізатори, стерилізаційне обладнання та багато іншого необхідного для якісного надання медичних послуг обладнання.</w:t>
      </w:r>
    </w:p>
    <w:p w:rsidR="00301453" w:rsidRPr="000A02D9" w:rsidRDefault="00301453" w:rsidP="00301453">
      <w:pPr>
        <w:pStyle w:val="a3"/>
        <w:numPr>
          <w:ilvl w:val="0"/>
          <w:numId w:val="22"/>
        </w:numPr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A02D9"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«Луцький клінічний пологовий будинок</w:t>
      </w:r>
      <w:r w:rsidRPr="000A02D9">
        <w:rPr>
          <w:sz w:val="28"/>
          <w:szCs w:val="28"/>
          <w:lang w:val="uk-UA"/>
        </w:rPr>
        <w:t xml:space="preserve">» - </w:t>
      </w:r>
      <w:r>
        <w:rPr>
          <w:b/>
          <w:sz w:val="28"/>
          <w:szCs w:val="28"/>
          <w:lang w:val="uk-UA"/>
        </w:rPr>
        <w:t>0,1</w:t>
      </w:r>
      <w:r w:rsidRPr="000A02D9">
        <w:rPr>
          <w:b/>
          <w:sz w:val="28"/>
          <w:szCs w:val="28"/>
          <w:lang w:val="uk-UA"/>
        </w:rPr>
        <w:t xml:space="preserve"> млн. грн</w:t>
      </w:r>
      <w:r w:rsidRPr="000A02D9">
        <w:rPr>
          <w:sz w:val="28"/>
          <w:szCs w:val="28"/>
          <w:lang w:val="uk-UA"/>
        </w:rPr>
        <w:t xml:space="preserve">, з яких зокрема закуплено </w:t>
      </w:r>
      <w:r>
        <w:rPr>
          <w:bCs/>
          <w:sz w:val="28"/>
          <w:szCs w:val="28"/>
          <w:lang w:val="uk-UA"/>
        </w:rPr>
        <w:t>господарське</w:t>
      </w:r>
      <w:r w:rsidRPr="000A02D9">
        <w:rPr>
          <w:bCs/>
          <w:sz w:val="28"/>
          <w:szCs w:val="28"/>
          <w:lang w:val="uk-UA"/>
        </w:rPr>
        <w:t xml:space="preserve"> обладнання</w:t>
      </w:r>
      <w:r>
        <w:rPr>
          <w:bCs/>
          <w:sz w:val="28"/>
          <w:szCs w:val="28"/>
          <w:lang w:val="uk-UA"/>
        </w:rPr>
        <w:t xml:space="preserve"> для пологового, гі</w:t>
      </w:r>
      <w:r w:rsidR="00964EB8">
        <w:rPr>
          <w:bCs/>
          <w:sz w:val="28"/>
          <w:szCs w:val="28"/>
          <w:lang w:val="uk-UA"/>
        </w:rPr>
        <w:t>не</w:t>
      </w:r>
      <w:r>
        <w:rPr>
          <w:bCs/>
          <w:sz w:val="28"/>
          <w:szCs w:val="28"/>
          <w:lang w:val="uk-UA"/>
        </w:rPr>
        <w:t xml:space="preserve">кологічного та стерилізаційного відділень </w:t>
      </w:r>
      <w:r w:rsidRPr="000A02D9">
        <w:rPr>
          <w:sz w:val="28"/>
          <w:szCs w:val="28"/>
          <w:lang w:val="uk-UA"/>
        </w:rPr>
        <w:t>.</w:t>
      </w:r>
    </w:p>
    <w:p w:rsidR="00051F3E" w:rsidRPr="000A02D9" w:rsidRDefault="003F5660" w:rsidP="003D57C7">
      <w:pPr>
        <w:pStyle w:val="a3"/>
        <w:numPr>
          <w:ilvl w:val="0"/>
          <w:numId w:val="22"/>
        </w:numPr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A02D9">
        <w:rPr>
          <w:sz w:val="28"/>
          <w:szCs w:val="28"/>
          <w:lang w:val="uk-UA"/>
        </w:rPr>
        <w:t>КП</w:t>
      </w:r>
      <w:proofErr w:type="spellEnd"/>
      <w:r w:rsidRPr="000A02D9">
        <w:rPr>
          <w:sz w:val="28"/>
          <w:szCs w:val="28"/>
          <w:lang w:val="uk-UA"/>
        </w:rPr>
        <w:t xml:space="preserve"> «Медичний центр реабілітації учасників бойових дій Луцької місь</w:t>
      </w:r>
      <w:r w:rsidR="00FD32AC" w:rsidRPr="000A02D9">
        <w:rPr>
          <w:sz w:val="28"/>
          <w:szCs w:val="28"/>
          <w:lang w:val="uk-UA"/>
        </w:rPr>
        <w:t>кої територ</w:t>
      </w:r>
      <w:r w:rsidR="00C26A2F" w:rsidRPr="000A02D9">
        <w:rPr>
          <w:sz w:val="28"/>
          <w:szCs w:val="28"/>
          <w:lang w:val="uk-UA"/>
        </w:rPr>
        <w:t>і</w:t>
      </w:r>
      <w:r w:rsidR="006D6CF1" w:rsidRPr="000A02D9">
        <w:rPr>
          <w:sz w:val="28"/>
          <w:szCs w:val="28"/>
          <w:lang w:val="uk-UA"/>
        </w:rPr>
        <w:t xml:space="preserve">альної громади» - </w:t>
      </w:r>
      <w:r w:rsidR="005B7E40">
        <w:rPr>
          <w:b/>
          <w:sz w:val="28"/>
          <w:szCs w:val="28"/>
          <w:lang w:val="uk-UA"/>
        </w:rPr>
        <w:t>0,9</w:t>
      </w:r>
      <w:r w:rsidRPr="000A02D9">
        <w:rPr>
          <w:b/>
          <w:sz w:val="28"/>
          <w:szCs w:val="28"/>
          <w:lang w:val="uk-UA"/>
        </w:rPr>
        <w:t xml:space="preserve"> млн. грн</w:t>
      </w:r>
      <w:r w:rsidRPr="000A02D9">
        <w:rPr>
          <w:sz w:val="28"/>
          <w:szCs w:val="28"/>
          <w:lang w:val="uk-UA"/>
        </w:rPr>
        <w:t xml:space="preserve">, з яких зокрема </w:t>
      </w:r>
      <w:r w:rsidR="00613051" w:rsidRPr="000A02D9">
        <w:rPr>
          <w:sz w:val="28"/>
          <w:szCs w:val="28"/>
          <w:lang w:val="uk-UA"/>
        </w:rPr>
        <w:t xml:space="preserve">закуплено </w:t>
      </w:r>
      <w:r w:rsidR="00C26A2F" w:rsidRPr="000A02D9">
        <w:rPr>
          <w:bCs/>
          <w:sz w:val="28"/>
          <w:szCs w:val="28"/>
          <w:lang w:val="uk-UA"/>
        </w:rPr>
        <w:t>реабілітаційне обладнання</w:t>
      </w:r>
      <w:r w:rsidR="00613051" w:rsidRPr="000A02D9">
        <w:rPr>
          <w:sz w:val="28"/>
          <w:szCs w:val="28"/>
          <w:lang w:val="uk-UA"/>
        </w:rPr>
        <w:t>.</w:t>
      </w:r>
    </w:p>
    <w:p w:rsidR="003038CD" w:rsidRPr="003038CD" w:rsidRDefault="00613051" w:rsidP="001E2984">
      <w:pPr>
        <w:pStyle w:val="a3"/>
        <w:numPr>
          <w:ilvl w:val="0"/>
          <w:numId w:val="22"/>
        </w:numPr>
        <w:shd w:val="clear" w:color="auto" w:fill="FFFFFF"/>
        <w:ind w:left="0" w:firstLine="567"/>
        <w:jc w:val="both"/>
        <w:rPr>
          <w:b/>
          <w:color w:val="FF0000"/>
          <w:sz w:val="28"/>
          <w:szCs w:val="28"/>
          <w:lang w:val="uk-UA"/>
        </w:rPr>
      </w:pPr>
      <w:proofErr w:type="spellStart"/>
      <w:r w:rsidRPr="003038CD">
        <w:rPr>
          <w:sz w:val="28"/>
          <w:szCs w:val="28"/>
          <w:lang w:val="uk-UA"/>
        </w:rPr>
        <w:t>КП</w:t>
      </w:r>
      <w:proofErr w:type="spellEnd"/>
      <w:r w:rsidRPr="003038CD">
        <w:rPr>
          <w:sz w:val="28"/>
          <w:szCs w:val="28"/>
          <w:lang w:val="uk-UA"/>
        </w:rPr>
        <w:t xml:space="preserve"> «Л</w:t>
      </w:r>
      <w:r w:rsidR="00B8203E" w:rsidRPr="003038CD">
        <w:rPr>
          <w:sz w:val="28"/>
          <w:szCs w:val="28"/>
          <w:lang w:val="uk-UA"/>
        </w:rPr>
        <w:t>уцька міська дитяча поліклініка</w:t>
      </w:r>
      <w:r w:rsidRPr="003038CD">
        <w:rPr>
          <w:sz w:val="28"/>
          <w:szCs w:val="28"/>
          <w:lang w:val="uk-UA"/>
        </w:rPr>
        <w:t>»</w:t>
      </w:r>
      <w:r w:rsidR="00901F33" w:rsidRPr="003038CD">
        <w:rPr>
          <w:sz w:val="28"/>
          <w:szCs w:val="28"/>
          <w:lang w:val="uk-UA"/>
        </w:rPr>
        <w:t xml:space="preserve"> - </w:t>
      </w:r>
      <w:r w:rsidR="000C7B21" w:rsidRPr="003038CD">
        <w:rPr>
          <w:b/>
          <w:sz w:val="28"/>
          <w:szCs w:val="28"/>
          <w:lang w:val="uk-UA"/>
        </w:rPr>
        <w:t>2,1</w:t>
      </w:r>
      <w:r w:rsidR="00901F33" w:rsidRPr="003038CD">
        <w:rPr>
          <w:b/>
          <w:sz w:val="28"/>
          <w:szCs w:val="28"/>
          <w:lang w:val="uk-UA"/>
        </w:rPr>
        <w:t xml:space="preserve"> млн. грн</w:t>
      </w:r>
      <w:r w:rsidR="000C7B21" w:rsidRPr="003038CD">
        <w:rPr>
          <w:sz w:val="28"/>
          <w:szCs w:val="28"/>
          <w:lang w:val="uk-UA"/>
        </w:rPr>
        <w:t xml:space="preserve">, з яких зокрема, обладнано сенсорну кімнату для занять з </w:t>
      </w:r>
      <w:proofErr w:type="spellStart"/>
      <w:r w:rsidR="000C7B21" w:rsidRPr="003038CD">
        <w:rPr>
          <w:sz w:val="28"/>
          <w:szCs w:val="28"/>
          <w:lang w:val="uk-UA"/>
        </w:rPr>
        <w:t>ерготерапевтом</w:t>
      </w:r>
      <w:proofErr w:type="spellEnd"/>
      <w:r w:rsidR="000C7B21" w:rsidRPr="003038CD">
        <w:rPr>
          <w:sz w:val="28"/>
          <w:szCs w:val="28"/>
          <w:lang w:val="uk-UA"/>
        </w:rPr>
        <w:t xml:space="preserve">. З метою покращення діагностичного процесу придбано 2 автоматичні </w:t>
      </w:r>
      <w:proofErr w:type="spellStart"/>
      <w:r w:rsidR="000C7B21" w:rsidRPr="003038CD">
        <w:rPr>
          <w:sz w:val="28"/>
          <w:szCs w:val="28"/>
          <w:lang w:val="uk-UA"/>
        </w:rPr>
        <w:t>імунохемолюмінесцентні</w:t>
      </w:r>
      <w:proofErr w:type="spellEnd"/>
      <w:r w:rsidR="000C7B21" w:rsidRPr="003038CD">
        <w:rPr>
          <w:sz w:val="28"/>
          <w:szCs w:val="28"/>
          <w:lang w:val="uk-UA"/>
        </w:rPr>
        <w:t xml:space="preserve"> аналізатори на суму 1,5 млн. грн; аналізатор для проведе</w:t>
      </w:r>
      <w:r w:rsidR="0021568C" w:rsidRPr="003038CD">
        <w:rPr>
          <w:sz w:val="28"/>
          <w:szCs w:val="28"/>
          <w:lang w:val="uk-UA"/>
        </w:rPr>
        <w:t xml:space="preserve">ння досліджень методом ІФА </w:t>
      </w:r>
      <w:r w:rsidR="003038CD">
        <w:rPr>
          <w:sz w:val="28"/>
          <w:szCs w:val="28"/>
          <w:lang w:val="uk-UA"/>
        </w:rPr>
        <w:t xml:space="preserve">вартістю </w:t>
      </w:r>
      <w:r w:rsidR="0021568C" w:rsidRPr="003038CD">
        <w:rPr>
          <w:sz w:val="28"/>
          <w:szCs w:val="28"/>
          <w:lang w:val="uk-UA"/>
        </w:rPr>
        <w:t>0,3 млн</w:t>
      </w:r>
      <w:r w:rsidR="000C7B21" w:rsidRPr="003038CD">
        <w:rPr>
          <w:sz w:val="28"/>
          <w:szCs w:val="28"/>
          <w:lang w:val="uk-UA"/>
        </w:rPr>
        <w:t>.</w:t>
      </w:r>
      <w:r w:rsidR="0021568C" w:rsidRPr="003038CD">
        <w:rPr>
          <w:sz w:val="28"/>
          <w:szCs w:val="28"/>
          <w:lang w:val="uk-UA"/>
        </w:rPr>
        <w:t xml:space="preserve"> </w:t>
      </w:r>
      <w:r w:rsidR="000C7B21" w:rsidRPr="003038CD">
        <w:rPr>
          <w:sz w:val="28"/>
          <w:szCs w:val="28"/>
          <w:lang w:val="uk-UA"/>
        </w:rPr>
        <w:t xml:space="preserve">грн; </w:t>
      </w:r>
      <w:r w:rsidR="003038CD" w:rsidRPr="003038CD">
        <w:rPr>
          <w:sz w:val="28"/>
          <w:szCs w:val="28"/>
          <w:lang w:val="uk-UA"/>
        </w:rPr>
        <w:t xml:space="preserve">комплекс реограф комп’ютерний </w:t>
      </w:r>
      <w:r w:rsidR="003038CD">
        <w:rPr>
          <w:sz w:val="28"/>
          <w:szCs w:val="28"/>
          <w:lang w:val="uk-UA"/>
        </w:rPr>
        <w:t>вартістю</w:t>
      </w:r>
      <w:r w:rsidR="003038CD" w:rsidRPr="003038CD">
        <w:rPr>
          <w:sz w:val="28"/>
          <w:szCs w:val="28"/>
          <w:lang w:val="uk-UA"/>
        </w:rPr>
        <w:t xml:space="preserve"> 0,1</w:t>
      </w:r>
      <w:r w:rsidR="0021568C" w:rsidRPr="003038CD">
        <w:rPr>
          <w:sz w:val="28"/>
          <w:szCs w:val="28"/>
          <w:lang w:val="uk-UA"/>
        </w:rPr>
        <w:t xml:space="preserve"> млн</w:t>
      </w:r>
      <w:r w:rsidR="000C7B21" w:rsidRPr="003038CD">
        <w:rPr>
          <w:sz w:val="28"/>
          <w:szCs w:val="28"/>
          <w:lang w:val="uk-UA"/>
        </w:rPr>
        <w:t>.</w:t>
      </w:r>
      <w:r w:rsidR="0021568C" w:rsidRPr="003038CD">
        <w:rPr>
          <w:sz w:val="28"/>
          <w:szCs w:val="28"/>
          <w:lang w:val="uk-UA"/>
        </w:rPr>
        <w:t xml:space="preserve"> </w:t>
      </w:r>
      <w:r w:rsidR="000C7B21" w:rsidRPr="003038CD">
        <w:rPr>
          <w:sz w:val="28"/>
          <w:szCs w:val="28"/>
          <w:lang w:val="uk-UA"/>
        </w:rPr>
        <w:t xml:space="preserve">грн., </w:t>
      </w:r>
      <w:r w:rsidR="003038CD">
        <w:rPr>
          <w:sz w:val="28"/>
          <w:szCs w:val="28"/>
          <w:lang w:val="uk-UA"/>
        </w:rPr>
        <w:t>інше обладнання на суму 0,2 млн. грн</w:t>
      </w:r>
    </w:p>
    <w:p w:rsidR="005927F5" w:rsidRPr="003038CD" w:rsidRDefault="005B6F4A" w:rsidP="001E2984">
      <w:pPr>
        <w:pStyle w:val="a3"/>
        <w:numPr>
          <w:ilvl w:val="0"/>
          <w:numId w:val="22"/>
        </w:numPr>
        <w:shd w:val="clear" w:color="auto" w:fill="FFFFFF"/>
        <w:ind w:left="0" w:firstLine="567"/>
        <w:jc w:val="both"/>
        <w:rPr>
          <w:b/>
          <w:color w:val="FF0000"/>
          <w:sz w:val="28"/>
          <w:szCs w:val="28"/>
          <w:lang w:val="uk-UA"/>
        </w:rPr>
      </w:pPr>
      <w:proofErr w:type="spellStart"/>
      <w:r w:rsidRPr="003038CD">
        <w:rPr>
          <w:sz w:val="28"/>
          <w:szCs w:val="28"/>
          <w:lang w:val="uk-UA"/>
        </w:rPr>
        <w:t>КП</w:t>
      </w:r>
      <w:proofErr w:type="spellEnd"/>
      <w:r w:rsidRPr="003038CD">
        <w:rPr>
          <w:sz w:val="28"/>
          <w:szCs w:val="28"/>
          <w:lang w:val="uk-UA"/>
        </w:rPr>
        <w:t xml:space="preserve"> «Луцька міська клінічна стоматологічна поліклініка»</w:t>
      </w:r>
      <w:r w:rsidR="00B8203E" w:rsidRPr="003038CD">
        <w:rPr>
          <w:sz w:val="28"/>
          <w:szCs w:val="28"/>
          <w:lang w:val="uk-UA"/>
        </w:rPr>
        <w:t xml:space="preserve"> - </w:t>
      </w:r>
      <w:r w:rsidR="00A82922" w:rsidRPr="003038CD">
        <w:rPr>
          <w:b/>
          <w:sz w:val="28"/>
          <w:szCs w:val="28"/>
          <w:lang w:val="uk-UA"/>
        </w:rPr>
        <w:t>4,6</w:t>
      </w:r>
      <w:r w:rsidR="00B8203E" w:rsidRPr="003038CD">
        <w:rPr>
          <w:b/>
          <w:sz w:val="28"/>
          <w:szCs w:val="28"/>
          <w:lang w:val="uk-UA"/>
        </w:rPr>
        <w:t xml:space="preserve"> млн. грн</w:t>
      </w:r>
      <w:r w:rsidR="00B8203E" w:rsidRPr="003038CD">
        <w:rPr>
          <w:sz w:val="28"/>
          <w:szCs w:val="28"/>
          <w:lang w:val="uk-UA"/>
        </w:rPr>
        <w:t xml:space="preserve">, з яких зокрема закуплено </w:t>
      </w:r>
      <w:r w:rsidR="00445FB4" w:rsidRPr="003038CD">
        <w:rPr>
          <w:sz w:val="28"/>
          <w:szCs w:val="28"/>
          <w:lang w:val="uk-UA"/>
        </w:rPr>
        <w:t>єдиний сервіс для лікарів «</w:t>
      </w:r>
      <w:proofErr w:type="spellStart"/>
      <w:r w:rsidR="00445FB4" w:rsidRPr="003038CD">
        <w:rPr>
          <w:sz w:val="28"/>
          <w:szCs w:val="28"/>
          <w:lang w:val="en-US"/>
        </w:rPr>
        <w:t>Cliniccards</w:t>
      </w:r>
      <w:proofErr w:type="spellEnd"/>
      <w:r w:rsidR="00445FB4" w:rsidRPr="003038CD">
        <w:rPr>
          <w:sz w:val="28"/>
          <w:szCs w:val="28"/>
          <w:lang w:val="uk-UA"/>
        </w:rPr>
        <w:t xml:space="preserve">» для </w:t>
      </w:r>
      <w:proofErr w:type="spellStart"/>
      <w:r w:rsidR="00445FB4" w:rsidRPr="003038CD">
        <w:rPr>
          <w:sz w:val="28"/>
          <w:szCs w:val="28"/>
          <w:lang w:val="uk-UA"/>
        </w:rPr>
        <w:t>відстежування</w:t>
      </w:r>
      <w:proofErr w:type="spellEnd"/>
      <w:r w:rsidR="00445FB4" w:rsidRPr="003038CD">
        <w:rPr>
          <w:sz w:val="28"/>
          <w:szCs w:val="28"/>
          <w:lang w:val="uk-UA"/>
        </w:rPr>
        <w:t xml:space="preserve"> потоку пацієнтів та прозорості надання послуг, придбано 5 стоматологічних установок, проведено ремонт </w:t>
      </w:r>
      <w:proofErr w:type="spellStart"/>
      <w:r w:rsidR="00445FB4" w:rsidRPr="003038CD">
        <w:rPr>
          <w:sz w:val="28"/>
          <w:szCs w:val="28"/>
          <w:lang w:val="uk-UA"/>
        </w:rPr>
        <w:t>зуботехнічної</w:t>
      </w:r>
      <w:proofErr w:type="spellEnd"/>
      <w:r w:rsidR="00445FB4" w:rsidRPr="003038CD">
        <w:rPr>
          <w:sz w:val="28"/>
          <w:szCs w:val="28"/>
          <w:lang w:val="uk-UA"/>
        </w:rPr>
        <w:t xml:space="preserve"> лабораторії, кабінетів лікарів-стоматологів дитяч</w:t>
      </w:r>
      <w:r w:rsidR="00133714">
        <w:rPr>
          <w:sz w:val="28"/>
          <w:szCs w:val="28"/>
          <w:lang w:val="uk-UA"/>
        </w:rPr>
        <w:t>ого відділення, встановлено теп</w:t>
      </w:r>
      <w:r w:rsidR="00445FB4" w:rsidRPr="003038CD">
        <w:rPr>
          <w:sz w:val="28"/>
          <w:szCs w:val="28"/>
          <w:lang w:val="uk-UA"/>
        </w:rPr>
        <w:t>ловий пункт (приміщення вул. Степана Бандери,6).</w:t>
      </w:r>
    </w:p>
    <w:p w:rsidR="00AF3571" w:rsidRPr="00AF3571" w:rsidRDefault="00AF3571" w:rsidP="00AF3571">
      <w:pPr>
        <w:pStyle w:val="a3"/>
        <w:shd w:val="clear" w:color="auto" w:fill="FFFFFF"/>
        <w:ind w:left="567"/>
        <w:jc w:val="both"/>
        <w:rPr>
          <w:b/>
          <w:color w:val="FF0000"/>
          <w:sz w:val="28"/>
          <w:szCs w:val="28"/>
          <w:lang w:val="uk-UA"/>
        </w:rPr>
      </w:pPr>
    </w:p>
    <w:p w:rsidR="00A2209B" w:rsidRPr="000D460D" w:rsidRDefault="00A2209B" w:rsidP="00E656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984">
        <w:rPr>
          <w:rFonts w:ascii="Times New Roman" w:hAnsi="Times New Roman" w:cs="Times New Roman"/>
          <w:b/>
          <w:color w:val="FF0000"/>
          <w:sz w:val="28"/>
          <w:szCs w:val="28"/>
        </w:rPr>
        <w:t>Залишок власних коштів</w:t>
      </w:r>
      <w:r w:rsidR="00E656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підприємств</w:t>
      </w:r>
      <w:r w:rsidRPr="001E29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банківських розр</w:t>
      </w:r>
      <w:r w:rsidR="00133714">
        <w:rPr>
          <w:rFonts w:ascii="Times New Roman" w:hAnsi="Times New Roman" w:cs="Times New Roman"/>
          <w:b/>
          <w:color w:val="FF0000"/>
          <w:sz w:val="28"/>
          <w:szCs w:val="28"/>
        </w:rPr>
        <w:t>ахункових рахунках</w:t>
      </w:r>
      <w:r w:rsidR="00A901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01.01.2025</w:t>
      </w:r>
      <w:r w:rsidRPr="001E29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року </w:t>
      </w:r>
      <w:r w:rsidR="000D460D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E656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001D7">
        <w:rPr>
          <w:rFonts w:ascii="Times New Roman" w:hAnsi="Times New Roman" w:cs="Times New Roman"/>
          <w:b/>
          <w:color w:val="FF0000"/>
          <w:sz w:val="28"/>
          <w:szCs w:val="28"/>
        </w:rPr>
        <w:t>140,9</w:t>
      </w:r>
      <w:r w:rsidR="000D460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млн. грн </w:t>
      </w:r>
      <w:r w:rsidRPr="000D460D">
        <w:rPr>
          <w:rFonts w:ascii="Times New Roman" w:hAnsi="Times New Roman" w:cs="Times New Roman"/>
          <w:b/>
          <w:sz w:val="28"/>
          <w:szCs w:val="28"/>
        </w:rPr>
        <w:t>( на 01.01.2023 – 126,3 млн. грн</w:t>
      </w:r>
      <w:r w:rsidR="00A901E5">
        <w:rPr>
          <w:rFonts w:ascii="Times New Roman" w:hAnsi="Times New Roman" w:cs="Times New Roman"/>
          <w:b/>
          <w:sz w:val="28"/>
          <w:szCs w:val="28"/>
        </w:rPr>
        <w:t>. на 01.01.2024 – 81,0 млн. грн</w:t>
      </w:r>
      <w:r w:rsidRPr="000D460D">
        <w:rPr>
          <w:rFonts w:ascii="Times New Roman" w:hAnsi="Times New Roman" w:cs="Times New Roman"/>
          <w:b/>
          <w:sz w:val="28"/>
          <w:szCs w:val="28"/>
        </w:rPr>
        <w:t>)</w:t>
      </w:r>
      <w:r w:rsidR="003A27B0">
        <w:rPr>
          <w:rFonts w:ascii="Times New Roman" w:hAnsi="Times New Roman" w:cs="Times New Roman"/>
          <w:b/>
          <w:sz w:val="28"/>
          <w:szCs w:val="28"/>
        </w:rPr>
        <w:t xml:space="preserve">. Враховуючи відсутність надходження коштів від НСЗУ в січні 2025 року, за рахунок наявних залишків підприємствами вчасно було виплачено аванс та заробітну плату (на жаль, крім </w:t>
      </w:r>
      <w:proofErr w:type="spellStart"/>
      <w:r w:rsidR="003A27B0">
        <w:rPr>
          <w:rFonts w:ascii="Times New Roman" w:hAnsi="Times New Roman" w:cs="Times New Roman"/>
          <w:b/>
          <w:sz w:val="28"/>
          <w:szCs w:val="28"/>
        </w:rPr>
        <w:t>КП</w:t>
      </w:r>
      <w:proofErr w:type="spellEnd"/>
      <w:r w:rsidR="003A27B0">
        <w:rPr>
          <w:rFonts w:ascii="Times New Roman" w:hAnsi="Times New Roman" w:cs="Times New Roman"/>
          <w:b/>
          <w:sz w:val="28"/>
          <w:szCs w:val="28"/>
        </w:rPr>
        <w:t xml:space="preserve"> «Луцький клінічний пологовий будинок»).</w:t>
      </w:r>
      <w:r w:rsidRPr="000D46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7F5" w:rsidRDefault="005927F5" w:rsidP="001E29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69A6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9A6">
        <w:rPr>
          <w:rFonts w:ascii="Times New Roman" w:hAnsi="Times New Roman" w:cs="Times New Roman"/>
          <w:b/>
          <w:sz w:val="28"/>
          <w:szCs w:val="28"/>
          <w:u w:val="single"/>
        </w:rPr>
        <w:t>З бюджету Луцької МТГ на 2024 рік</w:t>
      </w:r>
      <w:r w:rsidRPr="00FC1F92">
        <w:rPr>
          <w:rFonts w:ascii="Times New Roman" w:hAnsi="Times New Roman" w:cs="Times New Roman"/>
          <w:sz w:val="28"/>
          <w:szCs w:val="28"/>
        </w:rPr>
        <w:t xml:space="preserve"> на виконання заходів місцевих цільових програм «Здоров’я мешканців Луцької міської територіальної громади на 2021-2025 роки», «Фінансова підтримка комунальних підприємств охорони </w:t>
      </w:r>
      <w:r w:rsidRPr="00FC1F92">
        <w:rPr>
          <w:rFonts w:ascii="Times New Roman" w:hAnsi="Times New Roman" w:cs="Times New Roman"/>
          <w:sz w:val="28"/>
          <w:szCs w:val="28"/>
        </w:rPr>
        <w:lastRenderedPageBreak/>
        <w:t>здоров’я Луцької міської територіальної громади на 2021-2025 роки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1F92">
        <w:rPr>
          <w:rFonts w:ascii="Times New Roman" w:hAnsi="Times New Roman" w:cs="Times New Roman"/>
          <w:sz w:val="28"/>
          <w:szCs w:val="28"/>
        </w:rPr>
        <w:t xml:space="preserve">, </w:t>
      </w:r>
      <w:r w:rsidRPr="00FC1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Комплексної програми соціальної підтримки ветеранів війни та членів їх сімей на 2021-2023 роки </w:t>
      </w:r>
      <w:r w:rsidRPr="00FC1F92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1F92">
        <w:rPr>
          <w:rFonts w:ascii="Times New Roman" w:hAnsi="Times New Roman" w:cs="Times New Roman"/>
          <w:sz w:val="28"/>
          <w:szCs w:val="28"/>
        </w:rPr>
        <w:t>Програми профілактики раку шийки матки шляхом вакцинації дівчат віком 9-14 років проти вірусу папіломи людини на 2023-2027 роки</w:t>
      </w:r>
      <w:r>
        <w:rPr>
          <w:rFonts w:ascii="Times New Roman" w:hAnsi="Times New Roman" w:cs="Times New Roman"/>
          <w:sz w:val="28"/>
          <w:szCs w:val="28"/>
        </w:rPr>
        <w:t>» було виділено</w:t>
      </w:r>
      <w:r w:rsidRPr="00FC1F92">
        <w:rPr>
          <w:rFonts w:ascii="Times New Roman" w:hAnsi="Times New Roman" w:cs="Times New Roman"/>
          <w:sz w:val="28"/>
          <w:szCs w:val="28"/>
        </w:rPr>
        <w:t xml:space="preserve"> </w:t>
      </w:r>
      <w:r w:rsidRPr="000C72E5">
        <w:rPr>
          <w:rFonts w:ascii="Times New Roman" w:hAnsi="Times New Roman" w:cs="Times New Roman"/>
          <w:b/>
          <w:sz w:val="28"/>
          <w:szCs w:val="28"/>
        </w:rPr>
        <w:t>99,9</w:t>
      </w:r>
      <w:r>
        <w:rPr>
          <w:rFonts w:ascii="Times New Roman" w:hAnsi="Times New Roman" w:cs="Times New Roman"/>
          <w:sz w:val="28"/>
          <w:szCs w:val="28"/>
        </w:rPr>
        <w:t xml:space="preserve"> млн. грн (2023 - </w:t>
      </w:r>
      <w:r w:rsidRPr="00FC1F92">
        <w:rPr>
          <w:rFonts w:ascii="Times New Roman" w:hAnsi="Times New Roman" w:cs="Times New Roman"/>
          <w:sz w:val="28"/>
          <w:szCs w:val="28"/>
        </w:rPr>
        <w:t>75,1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1F92">
        <w:rPr>
          <w:rFonts w:ascii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), з них:</w:t>
      </w:r>
    </w:p>
    <w:p w:rsidR="00BB69A6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2E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22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2291">
        <w:rPr>
          <w:rFonts w:ascii="Times New Roman" w:hAnsi="Times New Roman" w:cs="Times New Roman"/>
          <w:sz w:val="28"/>
          <w:szCs w:val="28"/>
        </w:rPr>
        <w:t>На оновлення, осучаснення та розвиток матеріально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22291">
        <w:rPr>
          <w:rFonts w:ascii="Times New Roman" w:hAnsi="Times New Roman" w:cs="Times New Roman"/>
          <w:sz w:val="28"/>
          <w:szCs w:val="28"/>
        </w:rPr>
        <w:t>технічної бази комунальних підприємств охорони здоров’я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2E5">
        <w:rPr>
          <w:rFonts w:ascii="Times New Roman" w:hAnsi="Times New Roman" w:cs="Times New Roman"/>
          <w:b/>
          <w:sz w:val="28"/>
          <w:szCs w:val="28"/>
        </w:rPr>
        <w:t>– 9,9</w:t>
      </w:r>
      <w:r w:rsidRPr="00522291">
        <w:rPr>
          <w:rFonts w:ascii="Times New Roman" w:hAnsi="Times New Roman" w:cs="Times New Roman"/>
          <w:sz w:val="28"/>
          <w:szCs w:val="28"/>
        </w:rPr>
        <w:t xml:space="preserve"> млн. грн</w:t>
      </w:r>
      <w:r>
        <w:rPr>
          <w:rFonts w:ascii="Times New Roman" w:hAnsi="Times New Roman" w:cs="Times New Roman"/>
          <w:sz w:val="28"/>
          <w:szCs w:val="28"/>
        </w:rPr>
        <w:t>, в тому числі</w:t>
      </w:r>
      <w:r w:rsidRPr="0052229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22291">
        <w:rPr>
          <w:rFonts w:ascii="Times New Roman" w:hAnsi="Times New Roman" w:cs="Times New Roman"/>
          <w:bCs/>
          <w:sz w:val="28"/>
          <w:szCs w:val="28"/>
        </w:rPr>
        <w:t>КП</w:t>
      </w:r>
      <w:proofErr w:type="spellEnd"/>
      <w:r w:rsidRPr="00522291">
        <w:rPr>
          <w:rFonts w:ascii="Times New Roman" w:hAnsi="Times New Roman" w:cs="Times New Roman"/>
          <w:bCs/>
          <w:sz w:val="28"/>
          <w:szCs w:val="28"/>
        </w:rPr>
        <w:t xml:space="preserve"> «Луцький клінічний пологовий будинок»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522291">
        <w:rPr>
          <w:rFonts w:ascii="Times New Roman" w:hAnsi="Times New Roman" w:cs="Times New Roman"/>
          <w:sz w:val="28"/>
          <w:szCs w:val="28"/>
        </w:rPr>
        <w:t>придбання медичної апаратури</w:t>
      </w:r>
      <w:r>
        <w:rPr>
          <w:rFonts w:ascii="Times New Roman" w:hAnsi="Times New Roman" w:cs="Times New Roman"/>
          <w:sz w:val="28"/>
          <w:szCs w:val="28"/>
        </w:rPr>
        <w:t xml:space="preserve"> – 1,3 млн. грн; для «Медичне об’</w:t>
      </w:r>
      <w:r w:rsidRPr="006756EB">
        <w:rPr>
          <w:rFonts w:ascii="Times New Roman" w:hAnsi="Times New Roman" w:cs="Times New Roman"/>
          <w:sz w:val="28"/>
          <w:szCs w:val="28"/>
        </w:rPr>
        <w:t>єднання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C3745">
        <w:rPr>
          <w:rFonts w:ascii="Times New Roman" w:hAnsi="Times New Roman" w:cs="Times New Roman"/>
          <w:sz w:val="28"/>
          <w:szCs w:val="28"/>
        </w:rPr>
        <w:t xml:space="preserve">на </w:t>
      </w:r>
      <w:r w:rsidRPr="00DC3745">
        <w:rPr>
          <w:rFonts w:ascii="Times New Roman" w:hAnsi="Times New Roman" w:cs="Times New Roman"/>
          <w:bCs/>
          <w:sz w:val="28"/>
          <w:szCs w:val="28"/>
        </w:rPr>
        <w:t xml:space="preserve">придбання обладнання рентгенівського </w:t>
      </w:r>
      <w:r w:rsidRPr="00DC3745">
        <w:rPr>
          <w:rFonts w:ascii="Times New Roman" w:hAnsi="Times New Roman" w:cs="Times New Roman"/>
          <w:sz w:val="28"/>
          <w:szCs w:val="28"/>
        </w:rPr>
        <w:t xml:space="preserve">для діагностики ХVISION-525 - 4,6 млн. грн,. для </w:t>
      </w:r>
      <w:proofErr w:type="spellStart"/>
      <w:r w:rsidRPr="00DC374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C3745">
        <w:rPr>
          <w:rFonts w:ascii="Times New Roman" w:hAnsi="Times New Roman" w:cs="Times New Roman"/>
          <w:sz w:val="28"/>
          <w:szCs w:val="28"/>
        </w:rPr>
        <w:t xml:space="preserve"> «Луцька міська клінічна стоматологічна поліклініка» на придбання апарату для виготовлення комп'ютерних томографічних знімків</w:t>
      </w:r>
      <w:r>
        <w:rPr>
          <w:rFonts w:ascii="Times New Roman" w:hAnsi="Times New Roman" w:cs="Times New Roman"/>
          <w:sz w:val="28"/>
          <w:szCs w:val="28"/>
        </w:rPr>
        <w:t xml:space="preserve"> - 2,6 млн. грн,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«Медичний центр реабілітації учасників бойових дій Луцької міської територіальної громади» - 1,4 млн. грн (комп’</w:t>
      </w:r>
      <w:r w:rsidRPr="005F205C">
        <w:rPr>
          <w:rFonts w:ascii="Times New Roman" w:hAnsi="Times New Roman" w:cs="Times New Roman"/>
          <w:sz w:val="28"/>
          <w:szCs w:val="28"/>
        </w:rPr>
        <w:t>ютерна оргтехніка</w:t>
      </w:r>
      <w:r>
        <w:rPr>
          <w:rFonts w:ascii="Times New Roman" w:hAnsi="Times New Roman" w:cs="Times New Roman"/>
          <w:sz w:val="28"/>
          <w:szCs w:val="28"/>
        </w:rPr>
        <w:t xml:space="preserve"> – 0,4 млн. грн, тренажер</w:t>
      </w:r>
      <w:r w:rsidRPr="005F205C">
        <w:rPr>
          <w:rFonts w:ascii="Times New Roman" w:hAnsi="Times New Roman" w:cs="Times New Roman"/>
          <w:sz w:val="28"/>
          <w:szCs w:val="28"/>
        </w:rPr>
        <w:t xml:space="preserve"> для відновлення моторних навичок управління (імітатора легкового автомобіля)</w:t>
      </w:r>
      <w:r>
        <w:rPr>
          <w:rFonts w:ascii="Times New Roman" w:hAnsi="Times New Roman" w:cs="Times New Roman"/>
          <w:sz w:val="28"/>
          <w:szCs w:val="28"/>
        </w:rPr>
        <w:t xml:space="preserve"> - 0,4 млн. грн, </w:t>
      </w:r>
      <w:r w:rsidRPr="005F205C">
        <w:rPr>
          <w:rFonts w:ascii="Times New Roman" w:hAnsi="Times New Roman" w:cs="Times New Roman"/>
          <w:sz w:val="28"/>
          <w:szCs w:val="28"/>
        </w:rPr>
        <w:t xml:space="preserve">капітальний ремонт системи </w:t>
      </w:r>
      <w:proofErr w:type="spellStart"/>
      <w:r w:rsidRPr="005F205C">
        <w:rPr>
          <w:rFonts w:ascii="Times New Roman" w:hAnsi="Times New Roman" w:cs="Times New Roman"/>
          <w:sz w:val="28"/>
          <w:szCs w:val="28"/>
        </w:rPr>
        <w:t>блискавкозахисту</w:t>
      </w:r>
      <w:proofErr w:type="spellEnd"/>
      <w:r w:rsidRPr="005F205C">
        <w:rPr>
          <w:rFonts w:ascii="Times New Roman" w:hAnsi="Times New Roman" w:cs="Times New Roman"/>
          <w:sz w:val="28"/>
          <w:szCs w:val="28"/>
        </w:rPr>
        <w:t>, пожежної сигналізації та мовленнєвого оповіщення</w:t>
      </w:r>
      <w:r>
        <w:rPr>
          <w:rFonts w:ascii="Times New Roman" w:hAnsi="Times New Roman" w:cs="Times New Roman"/>
          <w:sz w:val="28"/>
          <w:szCs w:val="28"/>
        </w:rPr>
        <w:t xml:space="preserve"> – 0,6 млн. грн);</w:t>
      </w:r>
    </w:p>
    <w:p w:rsidR="00BB69A6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2E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522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2291">
        <w:rPr>
          <w:rFonts w:ascii="Times New Roman" w:hAnsi="Times New Roman" w:cs="Times New Roman"/>
          <w:sz w:val="28"/>
          <w:szCs w:val="28"/>
        </w:rPr>
        <w:t xml:space="preserve">На забезпечення медикаментами пільгової категорії громадян, які потребують постійного дороговартісного лікування та замісної терапії за життєвими показами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2291">
        <w:rPr>
          <w:rFonts w:ascii="Times New Roman" w:hAnsi="Times New Roman" w:cs="Times New Roman"/>
          <w:sz w:val="28"/>
          <w:szCs w:val="28"/>
        </w:rPr>
        <w:t xml:space="preserve"> </w:t>
      </w:r>
      <w:r w:rsidRPr="000C72E5">
        <w:rPr>
          <w:rFonts w:ascii="Times New Roman" w:hAnsi="Times New Roman" w:cs="Times New Roman"/>
          <w:b/>
          <w:sz w:val="28"/>
          <w:szCs w:val="28"/>
        </w:rPr>
        <w:t xml:space="preserve">15,7 </w:t>
      </w:r>
      <w:r>
        <w:rPr>
          <w:rFonts w:ascii="Times New Roman" w:hAnsi="Times New Roman" w:cs="Times New Roman"/>
          <w:sz w:val="28"/>
          <w:szCs w:val="28"/>
        </w:rPr>
        <w:t xml:space="preserve">млн. грн </w:t>
      </w:r>
    </w:p>
    <w:p w:rsidR="00BB69A6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2E5">
        <w:rPr>
          <w:rFonts w:ascii="Times New Roman" w:hAnsi="Times New Roman" w:cs="Times New Roman"/>
          <w:b/>
          <w:sz w:val="28"/>
          <w:szCs w:val="28"/>
        </w:rPr>
        <w:t>3</w:t>
      </w:r>
      <w:r w:rsidRPr="00522291">
        <w:rPr>
          <w:rFonts w:ascii="Times New Roman" w:hAnsi="Times New Roman" w:cs="Times New Roman"/>
          <w:sz w:val="28"/>
          <w:szCs w:val="28"/>
        </w:rPr>
        <w:t>. На безкоштовне медикаментозне лікування при наданн</w:t>
      </w:r>
      <w:r>
        <w:rPr>
          <w:rFonts w:ascii="Times New Roman" w:hAnsi="Times New Roman" w:cs="Times New Roman"/>
          <w:sz w:val="28"/>
          <w:szCs w:val="28"/>
        </w:rPr>
        <w:t xml:space="preserve">і амбулаторної, </w:t>
      </w:r>
      <w:r w:rsidRPr="00522291">
        <w:rPr>
          <w:rFonts w:ascii="Times New Roman" w:hAnsi="Times New Roman" w:cs="Times New Roman"/>
          <w:sz w:val="28"/>
          <w:szCs w:val="28"/>
        </w:rPr>
        <w:t xml:space="preserve">стоматологічної допомоги, в тому числі проведення зубопротезування учасників бойових дій, бійців – добровольців, членів їх сімей, а також сімей загиблих (померлих) військовослужбовців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72E5">
        <w:rPr>
          <w:rFonts w:ascii="Times New Roman" w:hAnsi="Times New Roman" w:cs="Times New Roman"/>
          <w:b/>
          <w:sz w:val="28"/>
          <w:szCs w:val="28"/>
        </w:rPr>
        <w:t>1,6</w:t>
      </w:r>
      <w:r>
        <w:rPr>
          <w:rFonts w:ascii="Times New Roman" w:hAnsi="Times New Roman" w:cs="Times New Roman"/>
          <w:sz w:val="28"/>
          <w:szCs w:val="28"/>
        </w:rPr>
        <w:t xml:space="preserve"> млн. грн.</w:t>
      </w:r>
    </w:p>
    <w:p w:rsidR="00BB69A6" w:rsidRPr="00522291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2E5">
        <w:rPr>
          <w:rFonts w:ascii="Times New Roman" w:hAnsi="Times New Roman" w:cs="Times New Roman"/>
          <w:b/>
          <w:sz w:val="28"/>
          <w:szCs w:val="28"/>
        </w:rPr>
        <w:t>4.</w:t>
      </w:r>
      <w:r w:rsidRPr="00522291">
        <w:rPr>
          <w:rFonts w:ascii="Times New Roman" w:hAnsi="Times New Roman" w:cs="Times New Roman"/>
          <w:sz w:val="28"/>
          <w:szCs w:val="28"/>
        </w:rPr>
        <w:t xml:space="preserve"> На оплату спожитих енергоносіїв комунальними підпри</w:t>
      </w:r>
      <w:r>
        <w:rPr>
          <w:rFonts w:ascii="Times New Roman" w:hAnsi="Times New Roman" w:cs="Times New Roman"/>
          <w:sz w:val="28"/>
          <w:szCs w:val="28"/>
        </w:rPr>
        <w:t xml:space="preserve">ємствами охорони здоров’я – </w:t>
      </w:r>
      <w:r w:rsidRPr="000C72E5">
        <w:rPr>
          <w:rFonts w:ascii="Times New Roman" w:hAnsi="Times New Roman" w:cs="Times New Roman"/>
          <w:b/>
          <w:sz w:val="28"/>
          <w:szCs w:val="28"/>
        </w:rPr>
        <w:t>40,3</w:t>
      </w:r>
      <w:r w:rsidRPr="00522291">
        <w:rPr>
          <w:rFonts w:ascii="Times New Roman" w:hAnsi="Times New Roman" w:cs="Times New Roman"/>
          <w:sz w:val="28"/>
          <w:szCs w:val="28"/>
        </w:rPr>
        <w:t xml:space="preserve"> млн. грн.</w:t>
      </w:r>
    </w:p>
    <w:p w:rsidR="00BB69A6" w:rsidRPr="00522291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91">
        <w:rPr>
          <w:rFonts w:ascii="Times New Roman" w:hAnsi="Times New Roman" w:cs="Times New Roman"/>
          <w:sz w:val="28"/>
          <w:szCs w:val="28"/>
        </w:rPr>
        <w:t>5. На утримання військово-лікарської комісії Луцького об’єднаного міського територіального центру комплектування та соціальної підтримки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9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2E5">
        <w:rPr>
          <w:rFonts w:ascii="Times New Roman" w:hAnsi="Times New Roman" w:cs="Times New Roman"/>
          <w:b/>
          <w:sz w:val="28"/>
          <w:szCs w:val="28"/>
        </w:rPr>
        <w:t>9,2</w:t>
      </w:r>
      <w:r w:rsidRPr="00522291">
        <w:rPr>
          <w:rFonts w:ascii="Times New Roman" w:hAnsi="Times New Roman" w:cs="Times New Roman"/>
          <w:sz w:val="28"/>
          <w:szCs w:val="28"/>
        </w:rPr>
        <w:t xml:space="preserve"> млн. грн. </w:t>
      </w:r>
    </w:p>
    <w:p w:rsidR="00BB69A6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2E5">
        <w:rPr>
          <w:rFonts w:ascii="Times New Roman" w:hAnsi="Times New Roman" w:cs="Times New Roman"/>
          <w:b/>
          <w:sz w:val="28"/>
          <w:szCs w:val="28"/>
        </w:rPr>
        <w:t>6.</w:t>
      </w:r>
      <w:r w:rsidRPr="00522291">
        <w:rPr>
          <w:rFonts w:ascii="Times New Roman" w:hAnsi="Times New Roman" w:cs="Times New Roman"/>
          <w:sz w:val="28"/>
          <w:szCs w:val="28"/>
        </w:rPr>
        <w:t xml:space="preserve"> На закупівлю вакцини проти вірусу папіломи людини для вакцин</w:t>
      </w:r>
      <w:r>
        <w:rPr>
          <w:rFonts w:ascii="Times New Roman" w:hAnsi="Times New Roman" w:cs="Times New Roman"/>
          <w:sz w:val="28"/>
          <w:szCs w:val="28"/>
        </w:rPr>
        <w:t>ації дівчат цільової групи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22291">
        <w:rPr>
          <w:rFonts w:ascii="Times New Roman" w:hAnsi="Times New Roman" w:cs="Times New Roman"/>
          <w:sz w:val="28"/>
          <w:szCs w:val="28"/>
        </w:rPr>
        <w:t>Луцька міська дитяча поліклініка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2291">
        <w:rPr>
          <w:rFonts w:ascii="Times New Roman" w:hAnsi="Times New Roman" w:cs="Times New Roman"/>
          <w:sz w:val="28"/>
          <w:szCs w:val="28"/>
        </w:rPr>
        <w:t xml:space="preserve">) – </w:t>
      </w:r>
      <w:r w:rsidRPr="000C72E5">
        <w:rPr>
          <w:rFonts w:ascii="Times New Roman" w:hAnsi="Times New Roman" w:cs="Times New Roman"/>
          <w:b/>
          <w:sz w:val="28"/>
          <w:szCs w:val="28"/>
        </w:rPr>
        <w:t>1,0</w:t>
      </w:r>
      <w:r w:rsidRPr="00522291">
        <w:rPr>
          <w:rFonts w:ascii="Times New Roman" w:hAnsi="Times New Roman" w:cs="Times New Roman"/>
          <w:sz w:val="28"/>
          <w:szCs w:val="28"/>
        </w:rPr>
        <w:t xml:space="preserve"> млн. грн.</w:t>
      </w:r>
    </w:p>
    <w:p w:rsidR="00BB69A6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2E5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D1A8F">
        <w:rPr>
          <w:rFonts w:ascii="Times New Roman" w:hAnsi="Times New Roman" w:cs="Times New Roman"/>
          <w:sz w:val="28"/>
          <w:szCs w:val="28"/>
        </w:rPr>
        <w:t>а придбання життєво необхідних лікарських засобів і препаратів, виробів медичного призначення та витратних матеріалів для лікування пацієнтів, мешканців ЛМТГ, методом гемодіалізу в амбулаторних умовах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8F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AD1A8F">
        <w:rPr>
          <w:rFonts w:ascii="Times New Roman" w:hAnsi="Times New Roman" w:cs="Times New Roman"/>
          <w:sz w:val="28"/>
          <w:szCs w:val="28"/>
        </w:rPr>
        <w:t xml:space="preserve"> «Медичне об’єднання Луцької міської територіальної громади»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2E5">
        <w:rPr>
          <w:rFonts w:ascii="Times New Roman" w:hAnsi="Times New Roman" w:cs="Times New Roman"/>
          <w:b/>
          <w:sz w:val="28"/>
          <w:szCs w:val="28"/>
        </w:rPr>
        <w:t>9,4</w:t>
      </w:r>
      <w:r>
        <w:rPr>
          <w:rFonts w:ascii="Times New Roman" w:hAnsi="Times New Roman" w:cs="Times New Roman"/>
          <w:sz w:val="28"/>
          <w:szCs w:val="28"/>
        </w:rPr>
        <w:t xml:space="preserve"> млн. грн. </w:t>
      </w:r>
    </w:p>
    <w:p w:rsidR="00BB69A6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2E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AD1A8F">
        <w:rPr>
          <w:rFonts w:ascii="Times New Roman" w:hAnsi="Times New Roman" w:cs="Times New Roman"/>
          <w:sz w:val="28"/>
          <w:szCs w:val="28"/>
        </w:rPr>
        <w:t>а придбання життєво необхідних лікарських засобів і препаратів, виробів медичного призначення та витратних ма</w:t>
      </w:r>
      <w:r>
        <w:rPr>
          <w:rFonts w:ascii="Times New Roman" w:hAnsi="Times New Roman" w:cs="Times New Roman"/>
          <w:sz w:val="28"/>
          <w:szCs w:val="28"/>
        </w:rPr>
        <w:t xml:space="preserve">теріалів для лікування новонароджених, мешканців ЛМТГ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7368">
        <w:rPr>
          <w:rFonts w:ascii="Times New Roman" w:hAnsi="Times New Roman" w:cs="Times New Roman"/>
          <w:sz w:val="28"/>
          <w:szCs w:val="28"/>
        </w:rPr>
        <w:t>Луць</w:t>
      </w:r>
      <w:r>
        <w:rPr>
          <w:rFonts w:ascii="Times New Roman" w:hAnsi="Times New Roman" w:cs="Times New Roman"/>
          <w:sz w:val="28"/>
          <w:szCs w:val="28"/>
        </w:rPr>
        <w:t>кий клінічний пологовий будинок</w:t>
      </w:r>
      <w:r w:rsidRPr="00AD1A8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2E5">
        <w:rPr>
          <w:rFonts w:ascii="Times New Roman" w:hAnsi="Times New Roman" w:cs="Times New Roman"/>
          <w:b/>
          <w:sz w:val="28"/>
          <w:szCs w:val="28"/>
        </w:rPr>
        <w:t>0,6</w:t>
      </w:r>
      <w:r>
        <w:rPr>
          <w:rFonts w:ascii="Times New Roman" w:hAnsi="Times New Roman" w:cs="Times New Roman"/>
          <w:sz w:val="28"/>
          <w:szCs w:val="28"/>
        </w:rPr>
        <w:t xml:space="preserve"> млн. грн. </w:t>
      </w:r>
    </w:p>
    <w:p w:rsidR="00BB69A6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2E5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B444D9">
        <w:rPr>
          <w:rFonts w:ascii="Times New Roman" w:hAnsi="Times New Roman" w:cs="Times New Roman"/>
          <w:sz w:val="28"/>
          <w:szCs w:val="28"/>
        </w:rPr>
        <w:t>а утримання медичної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4D9">
        <w:rPr>
          <w:rFonts w:ascii="Times New Roman" w:hAnsi="Times New Roman" w:cs="Times New Roman"/>
          <w:sz w:val="28"/>
          <w:szCs w:val="28"/>
        </w:rPr>
        <w:t>з питань приписки Луцького об’єднаного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4D9">
        <w:rPr>
          <w:rFonts w:ascii="Times New Roman" w:hAnsi="Times New Roman" w:cs="Times New Roman"/>
          <w:sz w:val="28"/>
          <w:szCs w:val="28"/>
        </w:rPr>
        <w:t>міського територіального центру комплектування та соціальної підтримки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C72E5">
        <w:rPr>
          <w:rFonts w:ascii="Times New Roman" w:hAnsi="Times New Roman" w:cs="Times New Roman"/>
          <w:b/>
          <w:sz w:val="28"/>
          <w:szCs w:val="28"/>
        </w:rPr>
        <w:t>1,7</w:t>
      </w:r>
      <w:r>
        <w:rPr>
          <w:rFonts w:ascii="Times New Roman" w:hAnsi="Times New Roman" w:cs="Times New Roman"/>
          <w:sz w:val="28"/>
          <w:szCs w:val="28"/>
        </w:rPr>
        <w:t xml:space="preserve"> млн. грн.</w:t>
      </w:r>
    </w:p>
    <w:p w:rsidR="00BB69A6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2E5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17368">
        <w:rPr>
          <w:rFonts w:ascii="Times New Roman" w:hAnsi="Times New Roman" w:cs="Times New Roman"/>
          <w:sz w:val="28"/>
          <w:szCs w:val="28"/>
        </w:rPr>
        <w:t>а оплат</w:t>
      </w:r>
      <w:r>
        <w:rPr>
          <w:rFonts w:ascii="Times New Roman" w:hAnsi="Times New Roman" w:cs="Times New Roman"/>
          <w:sz w:val="28"/>
          <w:szCs w:val="28"/>
        </w:rPr>
        <w:t xml:space="preserve">у послуг (крім комунальних) та придбання предметів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7368">
        <w:rPr>
          <w:rFonts w:ascii="Times New Roman" w:hAnsi="Times New Roman" w:cs="Times New Roman"/>
          <w:sz w:val="28"/>
          <w:szCs w:val="28"/>
        </w:rPr>
        <w:t>Луць</w:t>
      </w:r>
      <w:r>
        <w:rPr>
          <w:rFonts w:ascii="Times New Roman" w:hAnsi="Times New Roman" w:cs="Times New Roman"/>
          <w:sz w:val="28"/>
          <w:szCs w:val="28"/>
        </w:rPr>
        <w:t>кий клінічний пологовий будинок»</w:t>
      </w:r>
      <w:r w:rsidRPr="00017368">
        <w:rPr>
          <w:rFonts w:ascii="Times New Roman" w:hAnsi="Times New Roman" w:cs="Times New Roman"/>
          <w:sz w:val="28"/>
          <w:szCs w:val="28"/>
        </w:rPr>
        <w:t xml:space="preserve"> (встановлення джерела рез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7368">
        <w:rPr>
          <w:rFonts w:ascii="Times New Roman" w:hAnsi="Times New Roman" w:cs="Times New Roman"/>
          <w:sz w:val="28"/>
          <w:szCs w:val="28"/>
        </w:rPr>
        <w:t xml:space="preserve">рвного </w:t>
      </w:r>
      <w:r w:rsidRPr="00017368">
        <w:rPr>
          <w:rFonts w:ascii="Times New Roman" w:hAnsi="Times New Roman" w:cs="Times New Roman"/>
          <w:sz w:val="28"/>
          <w:szCs w:val="28"/>
        </w:rPr>
        <w:lastRenderedPageBreak/>
        <w:t>живлення, технічне обслуговування котельні, ліфтів, пожежна сигналізація, утилізація біовідходів, тощо)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C72E5">
        <w:rPr>
          <w:rFonts w:ascii="Times New Roman" w:hAnsi="Times New Roman" w:cs="Times New Roman"/>
          <w:b/>
          <w:sz w:val="28"/>
          <w:szCs w:val="28"/>
        </w:rPr>
        <w:t>1,1</w:t>
      </w:r>
      <w:r>
        <w:rPr>
          <w:rFonts w:ascii="Times New Roman" w:hAnsi="Times New Roman" w:cs="Times New Roman"/>
          <w:sz w:val="28"/>
          <w:szCs w:val="28"/>
        </w:rPr>
        <w:t xml:space="preserve"> млн. грн.</w:t>
      </w:r>
    </w:p>
    <w:p w:rsidR="00BB69A6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2E5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05BB1">
        <w:rPr>
          <w:rFonts w:ascii="Times New Roman" w:hAnsi="Times New Roman" w:cs="Times New Roman"/>
          <w:sz w:val="28"/>
          <w:szCs w:val="28"/>
        </w:rPr>
        <w:t>а оплату праці з нарахуванням працівникам, які надають безкоштовну стоматологічну допомогу пільговим категоріям мешканців Луцької МТГ та придбання стоматологічних</w:t>
      </w:r>
      <w:r>
        <w:rPr>
          <w:rFonts w:ascii="Times New Roman" w:hAnsi="Times New Roman" w:cs="Times New Roman"/>
          <w:sz w:val="28"/>
          <w:szCs w:val="28"/>
        </w:rPr>
        <w:t xml:space="preserve"> матеріалів – </w:t>
      </w:r>
      <w:r w:rsidRPr="000C72E5">
        <w:rPr>
          <w:rFonts w:ascii="Times New Roman" w:hAnsi="Times New Roman" w:cs="Times New Roman"/>
          <w:b/>
          <w:sz w:val="28"/>
          <w:szCs w:val="28"/>
        </w:rPr>
        <w:t>3,0</w:t>
      </w:r>
      <w:r>
        <w:rPr>
          <w:rFonts w:ascii="Times New Roman" w:hAnsi="Times New Roman" w:cs="Times New Roman"/>
          <w:sz w:val="28"/>
          <w:szCs w:val="28"/>
        </w:rPr>
        <w:t xml:space="preserve"> млн. грн;</w:t>
      </w:r>
    </w:p>
    <w:p w:rsidR="00BB69A6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2E5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Надання поворотної фінансової допомоги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7368">
        <w:rPr>
          <w:rFonts w:ascii="Times New Roman" w:hAnsi="Times New Roman" w:cs="Times New Roman"/>
          <w:sz w:val="28"/>
          <w:szCs w:val="28"/>
        </w:rPr>
        <w:t>Луць</w:t>
      </w:r>
      <w:r>
        <w:rPr>
          <w:rFonts w:ascii="Times New Roman" w:hAnsi="Times New Roman" w:cs="Times New Roman"/>
          <w:sz w:val="28"/>
          <w:szCs w:val="28"/>
        </w:rPr>
        <w:t xml:space="preserve">кий клінічний пологовий будинок» - </w:t>
      </w:r>
      <w:r w:rsidRPr="000C72E5">
        <w:rPr>
          <w:rFonts w:ascii="Times New Roman" w:hAnsi="Times New Roman" w:cs="Times New Roman"/>
          <w:b/>
          <w:sz w:val="28"/>
          <w:szCs w:val="28"/>
        </w:rPr>
        <w:t xml:space="preserve">4,0 </w:t>
      </w:r>
      <w:r>
        <w:rPr>
          <w:rFonts w:ascii="Times New Roman" w:hAnsi="Times New Roman" w:cs="Times New Roman"/>
          <w:sz w:val="28"/>
          <w:szCs w:val="28"/>
        </w:rPr>
        <w:t>млн. грн;</w:t>
      </w:r>
    </w:p>
    <w:p w:rsidR="00BB69A6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2E5"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На проведення безоплатного зубопротезування пільговим категоріям, мешканцям Луцької МТГ – </w:t>
      </w:r>
      <w:r w:rsidR="0048117F">
        <w:rPr>
          <w:rFonts w:ascii="Times New Roman" w:hAnsi="Times New Roman" w:cs="Times New Roman"/>
          <w:b/>
          <w:sz w:val="28"/>
          <w:szCs w:val="28"/>
        </w:rPr>
        <w:t>1</w:t>
      </w:r>
      <w:r w:rsidRPr="000C72E5">
        <w:rPr>
          <w:rFonts w:ascii="Times New Roman" w:hAnsi="Times New Roman" w:cs="Times New Roman"/>
          <w:b/>
          <w:sz w:val="28"/>
          <w:szCs w:val="28"/>
        </w:rPr>
        <w:t>,7</w:t>
      </w:r>
      <w:r>
        <w:rPr>
          <w:rFonts w:ascii="Times New Roman" w:hAnsi="Times New Roman" w:cs="Times New Roman"/>
          <w:sz w:val="28"/>
          <w:szCs w:val="28"/>
        </w:rPr>
        <w:t xml:space="preserve"> млн. грн;</w:t>
      </w:r>
    </w:p>
    <w:p w:rsidR="00BB69A6" w:rsidRDefault="00BB69A6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72E5">
        <w:rPr>
          <w:rFonts w:ascii="Times New Roman" w:hAnsi="Times New Roman" w:cs="Times New Roman"/>
          <w:b/>
          <w:sz w:val="28"/>
          <w:szCs w:val="28"/>
        </w:rPr>
        <w:t>14</w:t>
      </w:r>
      <w:r w:rsidRPr="00856329">
        <w:rPr>
          <w:rFonts w:ascii="Times New Roman" w:hAnsi="Times New Roman" w:cs="Times New Roman"/>
          <w:sz w:val="28"/>
          <w:szCs w:val="28"/>
        </w:rPr>
        <w:t xml:space="preserve">. На </w:t>
      </w:r>
      <w:r w:rsidRPr="008563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організацію надання медичної допомоги, інформаційного, правового супроводу та забезпечення фінансово - економічної діяльності комунальних підприємств охорони здоров’я Луцької МТГ (відділи при управлінні) – </w:t>
      </w:r>
      <w:r w:rsidRPr="000C7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1,7</w:t>
      </w:r>
      <w:r w:rsidRPr="008563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млн. грн.</w:t>
      </w:r>
    </w:p>
    <w:p w:rsidR="000B0782" w:rsidRDefault="000B0782" w:rsidP="00BB69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69A6" w:rsidRDefault="00BB69A6" w:rsidP="00BB6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Крім того, управлінням капітального будівництва ЛМР проводився </w:t>
      </w:r>
      <w:r w:rsidRPr="000B601C">
        <w:rPr>
          <w:rFonts w:ascii="Times New Roman" w:hAnsi="Times New Roman" w:cs="Times New Roman"/>
          <w:sz w:val="28"/>
          <w:szCs w:val="28"/>
        </w:rPr>
        <w:t xml:space="preserve">капітальний ремонт операційного блоку </w:t>
      </w:r>
      <w:proofErr w:type="spellStart"/>
      <w:r w:rsidRPr="000B601C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0B601C">
        <w:rPr>
          <w:rFonts w:ascii="Times New Roman" w:hAnsi="Times New Roman" w:cs="Times New Roman"/>
          <w:sz w:val="28"/>
          <w:szCs w:val="28"/>
        </w:rPr>
        <w:t xml:space="preserve"> «Медичне об’єднання Луцької міської територіальної громади»; капітальний ремонт частини приміщення </w:t>
      </w:r>
      <w:proofErr w:type="spellStart"/>
      <w:r w:rsidRPr="000B601C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0B601C">
        <w:rPr>
          <w:rFonts w:ascii="Times New Roman" w:hAnsi="Times New Roman" w:cs="Times New Roman"/>
          <w:sz w:val="28"/>
          <w:szCs w:val="28"/>
        </w:rPr>
        <w:t xml:space="preserve"> «Медичний центр реабілітації учасників бойових дій Луцької міської територіальної громади»; капітальний ремонт </w:t>
      </w:r>
      <w:proofErr w:type="spellStart"/>
      <w:r w:rsidRPr="000B601C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0B601C">
        <w:rPr>
          <w:rFonts w:ascii="Times New Roman" w:hAnsi="Times New Roman" w:cs="Times New Roman"/>
          <w:sz w:val="28"/>
          <w:szCs w:val="28"/>
        </w:rPr>
        <w:t xml:space="preserve"> "Луцька міська дитяча поліклініка" (частина приміщень першого поверху) на вул. Чорновола, 1.</w:t>
      </w:r>
    </w:p>
    <w:p w:rsidR="000B0782" w:rsidRPr="000B601C" w:rsidRDefault="000B0782" w:rsidP="00BB6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6708" w:rsidRDefault="003D57C7" w:rsidP="005927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  <w:t>Окремо обліковується</w:t>
      </w:r>
      <w:r w:rsidR="004B6708" w:rsidRPr="00796401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  <w:t xml:space="preserve"> обсяг надходжень благодійної та гуманітарної допомоги до комунальних підприємств охорони здоров’я Луць</w:t>
      </w:r>
      <w:r w:rsidR="004B6708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  <w:t xml:space="preserve">кої міської ради. За період 2023 </w:t>
      </w:r>
      <w:r w:rsidR="004B6708" w:rsidRPr="00796401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  <w:t xml:space="preserve">року, в умовах </w:t>
      </w:r>
      <w:r w:rsidR="004B6708" w:rsidRPr="00796401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воєнного стану у зв’язку з агресією російської федерації, з різних джерел (гуманітарна допомога, волонтери, благодійні фонди, фізичні особи, громадські організації, тощо), підприємствами отримано допомоги</w:t>
      </w:r>
      <w:r w:rsidR="00BA0854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 </w:t>
      </w:r>
      <w:r w:rsidR="004B6708" w:rsidRPr="00796401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(лікарські засоби та препарати, вироби медичного призначення, антисептики, медичний одяг, дитяче харчування, засоби гігієни для пацієнтів, </w:t>
      </w:r>
      <w:r w:rsidR="004B6708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медичне обладнання, тощо) на суму </w:t>
      </w:r>
      <w:r w:rsidR="006E1B47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25,7</w:t>
      </w:r>
      <w:r w:rsidR="004B6708" w:rsidRPr="00796401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 млн. грн (</w:t>
      </w:r>
      <w:r w:rsidR="004B6708" w:rsidRPr="00796401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  <w:t>в порівнянні з 2021 роком -33,3 млн.</w:t>
      </w:r>
      <w:r w:rsidR="00BA0854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  <w:t xml:space="preserve"> </w:t>
      </w:r>
      <w:r w:rsidR="004B6708" w:rsidRPr="00796401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  <w:t>грн</w:t>
      </w:r>
      <w:r w:rsidR="004B6708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  <w:t>, 2022 рік – 81,3 млн. грн</w:t>
      </w:r>
      <w:r w:rsidR="00073ED3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  <w:t xml:space="preserve">, 2023 рік </w:t>
      </w:r>
      <w:r w:rsidR="00C62383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  <w:t xml:space="preserve">- </w:t>
      </w:r>
      <w:r w:rsidR="00073ED3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  <w:t>98,5 млн. грн</w:t>
      </w:r>
      <w:r w:rsidR="004B6708" w:rsidRPr="00796401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  <w:t>).</w:t>
      </w:r>
    </w:p>
    <w:p w:rsidR="000B0782" w:rsidRDefault="000B0782" w:rsidP="005927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</w:pPr>
    </w:p>
    <w:p w:rsidR="000B0782" w:rsidRDefault="000B0782" w:rsidP="005927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2984" w:rsidRPr="001E2984" w:rsidRDefault="001E2984" w:rsidP="001E29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09B" w:rsidRDefault="00BA0854" w:rsidP="00A2209B">
      <w:pPr>
        <w:pStyle w:val="a3"/>
        <w:numPr>
          <w:ilvl w:val="0"/>
          <w:numId w:val="24"/>
        </w:numPr>
        <w:jc w:val="both"/>
        <w:rPr>
          <w:b/>
          <w:color w:val="984806" w:themeColor="accent6" w:themeShade="80"/>
          <w:sz w:val="28"/>
          <w:szCs w:val="28"/>
          <w:u w:val="single"/>
          <w:lang w:val="uk-UA"/>
        </w:rPr>
      </w:pPr>
      <w:r>
        <w:rPr>
          <w:b/>
          <w:color w:val="984806" w:themeColor="accent6" w:themeShade="80"/>
          <w:sz w:val="28"/>
          <w:szCs w:val="28"/>
          <w:u w:val="single"/>
          <w:lang w:val="uk-UA"/>
        </w:rPr>
        <w:t>Ш</w:t>
      </w:r>
      <w:r w:rsidR="00A2209B">
        <w:rPr>
          <w:b/>
          <w:color w:val="984806" w:themeColor="accent6" w:themeShade="80"/>
          <w:sz w:val="28"/>
          <w:szCs w:val="28"/>
          <w:u w:val="single"/>
          <w:lang w:val="uk-UA"/>
        </w:rPr>
        <w:t>татна чисельність та заробітна плата</w:t>
      </w:r>
    </w:p>
    <w:p w:rsidR="00D10F6D" w:rsidRDefault="00D10F6D" w:rsidP="00D10F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F6D">
        <w:rPr>
          <w:rFonts w:ascii="Times New Roman" w:hAnsi="Times New Roman" w:cs="Times New Roman"/>
          <w:b/>
          <w:sz w:val="28"/>
          <w:szCs w:val="28"/>
        </w:rPr>
        <w:t>На 01.01.202</w:t>
      </w:r>
      <w:r w:rsidR="0033102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показники чисельності працівників комунальних підприємств охорони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</w:t>
      </w:r>
      <w:proofErr w:type="spellEnd"/>
      <w:r w:rsidRPr="00D10F6D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proofErr w:type="spellStart"/>
      <w:r w:rsidRPr="00D10F6D">
        <w:rPr>
          <w:rFonts w:ascii="Times New Roman" w:hAnsi="Times New Roman" w:cs="Times New Roman"/>
          <w:sz w:val="28"/>
          <w:szCs w:val="28"/>
          <w:lang w:val="ru-RU"/>
        </w:rPr>
        <w:t>Луцької</w:t>
      </w:r>
      <w:proofErr w:type="spellEnd"/>
      <w:r w:rsidRPr="00D10F6D">
        <w:rPr>
          <w:rFonts w:ascii="Times New Roman" w:hAnsi="Times New Roman" w:cs="Times New Roman"/>
          <w:sz w:val="28"/>
          <w:szCs w:val="28"/>
          <w:lang w:val="ru-RU"/>
        </w:rPr>
        <w:t xml:space="preserve"> МТГ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2"/>
        <w:gridCol w:w="1212"/>
        <w:gridCol w:w="1217"/>
        <w:gridCol w:w="1142"/>
        <w:gridCol w:w="1368"/>
        <w:gridCol w:w="2838"/>
      </w:tblGrid>
      <w:tr w:rsidR="001B2CAB" w:rsidTr="001B2CAB">
        <w:trPr>
          <w:trHeight w:val="450"/>
        </w:trPr>
        <w:tc>
          <w:tcPr>
            <w:tcW w:w="1862" w:type="dxa"/>
            <w:vMerge w:val="restart"/>
          </w:tcPr>
          <w:p w:rsidR="001B2CAB" w:rsidRPr="002F7E83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E83">
              <w:rPr>
                <w:rFonts w:ascii="Times New Roman" w:hAnsi="Times New Roman" w:cs="Times New Roman"/>
                <w:sz w:val="24"/>
                <w:szCs w:val="24"/>
              </w:rPr>
              <w:t>Категорії працівників</w:t>
            </w:r>
          </w:p>
        </w:tc>
        <w:tc>
          <w:tcPr>
            <w:tcW w:w="2429" w:type="dxa"/>
            <w:gridSpan w:val="2"/>
          </w:tcPr>
          <w:p w:rsidR="001B2CAB" w:rsidRPr="000B072A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2A">
              <w:rPr>
                <w:rFonts w:ascii="Times New Roman" w:hAnsi="Times New Roman" w:cs="Times New Roman"/>
                <w:b/>
                <w:sz w:val="24"/>
                <w:szCs w:val="24"/>
              </w:rPr>
              <w:t>Штатна чисельність, од.</w:t>
            </w:r>
          </w:p>
        </w:tc>
        <w:tc>
          <w:tcPr>
            <w:tcW w:w="2510" w:type="dxa"/>
            <w:gridSpan w:val="2"/>
          </w:tcPr>
          <w:p w:rsidR="001B2CAB" w:rsidRPr="000B072A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2A">
              <w:rPr>
                <w:rFonts w:ascii="Times New Roman" w:hAnsi="Times New Roman" w:cs="Times New Roman"/>
                <w:b/>
                <w:sz w:val="24"/>
                <w:szCs w:val="24"/>
              </w:rPr>
              <w:t>Фактично зайнято, од.</w:t>
            </w:r>
          </w:p>
        </w:tc>
        <w:tc>
          <w:tcPr>
            <w:tcW w:w="2838" w:type="dxa"/>
          </w:tcPr>
          <w:p w:rsidR="001B2CAB" w:rsidRPr="000B072A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2A">
              <w:rPr>
                <w:rFonts w:ascii="Times New Roman" w:hAnsi="Times New Roman" w:cs="Times New Roman"/>
                <w:b/>
                <w:sz w:val="24"/>
                <w:szCs w:val="24"/>
              </w:rPr>
              <w:t>Фізичні особи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(основні працівники</w:t>
            </w:r>
            <w:r w:rsidRPr="000B072A">
              <w:rPr>
                <w:rFonts w:ascii="Times New Roman" w:hAnsi="Times New Roman" w:cs="Times New Roman"/>
                <w:b/>
                <w:sz w:val="24"/>
                <w:szCs w:val="24"/>
              </w:rPr>
              <w:t>, чол.</w:t>
            </w:r>
          </w:p>
        </w:tc>
      </w:tr>
      <w:tr w:rsidR="001B2CAB" w:rsidTr="001B2CAB">
        <w:trPr>
          <w:trHeight w:val="427"/>
        </w:trPr>
        <w:tc>
          <w:tcPr>
            <w:tcW w:w="1862" w:type="dxa"/>
            <w:vMerge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1B2CAB" w:rsidRPr="002F7E83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E83">
              <w:rPr>
                <w:rFonts w:ascii="Times New Roman" w:hAnsi="Times New Roman" w:cs="Times New Roman"/>
                <w:sz w:val="24"/>
                <w:szCs w:val="24"/>
              </w:rPr>
              <w:t>на початок року</w:t>
            </w:r>
          </w:p>
        </w:tc>
        <w:tc>
          <w:tcPr>
            <w:tcW w:w="1217" w:type="dxa"/>
          </w:tcPr>
          <w:p w:rsidR="001B2CAB" w:rsidRPr="002F7E83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E83">
              <w:rPr>
                <w:rFonts w:ascii="Times New Roman" w:hAnsi="Times New Roman" w:cs="Times New Roman"/>
                <w:sz w:val="24"/>
                <w:szCs w:val="24"/>
              </w:rPr>
              <w:t>на кінець року</w:t>
            </w:r>
          </w:p>
        </w:tc>
        <w:tc>
          <w:tcPr>
            <w:tcW w:w="1142" w:type="dxa"/>
          </w:tcPr>
          <w:p w:rsidR="001B2CAB" w:rsidRPr="002F7E83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7E83">
              <w:rPr>
                <w:rFonts w:ascii="Times New Roman" w:hAnsi="Times New Roman" w:cs="Times New Roman"/>
                <w:sz w:val="24"/>
                <w:szCs w:val="24"/>
              </w:rPr>
              <w:t>а кінець року</w:t>
            </w:r>
          </w:p>
        </w:tc>
        <w:tc>
          <w:tcPr>
            <w:tcW w:w="1368" w:type="dxa"/>
          </w:tcPr>
          <w:p w:rsidR="001B2CAB" w:rsidRPr="00C07B1D" w:rsidRDefault="001B2CAB" w:rsidP="00C0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07B1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% зайнятості</w:t>
            </w:r>
          </w:p>
        </w:tc>
        <w:tc>
          <w:tcPr>
            <w:tcW w:w="2838" w:type="dxa"/>
          </w:tcPr>
          <w:p w:rsidR="001B2CAB" w:rsidRPr="002F7E83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E83">
              <w:rPr>
                <w:rFonts w:ascii="Times New Roman" w:hAnsi="Times New Roman" w:cs="Times New Roman"/>
                <w:sz w:val="24"/>
                <w:szCs w:val="24"/>
              </w:rPr>
              <w:t>на кінець року</w:t>
            </w:r>
          </w:p>
        </w:tc>
      </w:tr>
      <w:tr w:rsidR="001B2CAB" w:rsidTr="001B2CAB">
        <w:trPr>
          <w:trHeight w:val="369"/>
        </w:trPr>
        <w:tc>
          <w:tcPr>
            <w:tcW w:w="1862" w:type="dxa"/>
          </w:tcPr>
          <w:p w:rsidR="001B2CAB" w:rsidRPr="002F7E83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E83">
              <w:rPr>
                <w:rFonts w:ascii="Times New Roman" w:hAnsi="Times New Roman" w:cs="Times New Roman"/>
                <w:sz w:val="24"/>
                <w:szCs w:val="24"/>
              </w:rPr>
              <w:t>Лікарі</w:t>
            </w:r>
          </w:p>
        </w:tc>
        <w:tc>
          <w:tcPr>
            <w:tcW w:w="1212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859,25</w:t>
            </w:r>
          </w:p>
        </w:tc>
        <w:tc>
          <w:tcPr>
            <w:tcW w:w="1217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885,25</w:t>
            </w:r>
          </w:p>
        </w:tc>
        <w:tc>
          <w:tcPr>
            <w:tcW w:w="1142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782,5</w:t>
            </w:r>
          </w:p>
        </w:tc>
        <w:tc>
          <w:tcPr>
            <w:tcW w:w="1368" w:type="dxa"/>
          </w:tcPr>
          <w:p w:rsidR="001B2CAB" w:rsidRPr="00C07B1D" w:rsidRDefault="001B2CAB" w:rsidP="00C0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88,4</w:t>
            </w:r>
          </w:p>
        </w:tc>
        <w:tc>
          <w:tcPr>
            <w:tcW w:w="2838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</w:tr>
      <w:tr w:rsidR="001B2CAB" w:rsidTr="001B2CAB">
        <w:trPr>
          <w:trHeight w:val="540"/>
        </w:trPr>
        <w:tc>
          <w:tcPr>
            <w:tcW w:w="1862" w:type="dxa"/>
          </w:tcPr>
          <w:p w:rsidR="001B2CAB" w:rsidRPr="002F7E83" w:rsidRDefault="001B2CAB" w:rsidP="00F5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E83">
              <w:rPr>
                <w:rFonts w:ascii="Times New Roman" w:hAnsi="Times New Roman" w:cs="Times New Roman"/>
                <w:sz w:val="24"/>
                <w:szCs w:val="24"/>
              </w:rPr>
              <w:t xml:space="preserve">Фахівці з базовою вищою медичною </w:t>
            </w:r>
            <w:r w:rsidRPr="002F7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освітою</w:t>
            </w:r>
          </w:p>
        </w:tc>
        <w:tc>
          <w:tcPr>
            <w:tcW w:w="1212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1114,25</w:t>
            </w:r>
          </w:p>
        </w:tc>
        <w:tc>
          <w:tcPr>
            <w:tcW w:w="1217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1101,25</w:t>
            </w:r>
          </w:p>
        </w:tc>
        <w:tc>
          <w:tcPr>
            <w:tcW w:w="1142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988,25</w:t>
            </w:r>
          </w:p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1B2CAB" w:rsidRPr="00C07B1D" w:rsidRDefault="001B2CAB" w:rsidP="00C0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89,7</w:t>
            </w:r>
          </w:p>
        </w:tc>
        <w:tc>
          <w:tcPr>
            <w:tcW w:w="2838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</w:tr>
      <w:tr w:rsidR="001B2CAB" w:rsidTr="001B2CAB">
        <w:trPr>
          <w:trHeight w:val="774"/>
        </w:trPr>
        <w:tc>
          <w:tcPr>
            <w:tcW w:w="1862" w:type="dxa"/>
          </w:tcPr>
          <w:p w:rsidR="001B2CAB" w:rsidRPr="002F7E83" w:rsidRDefault="001B2CAB" w:rsidP="00F5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Молодший медичний персонал</w:t>
            </w:r>
          </w:p>
        </w:tc>
        <w:tc>
          <w:tcPr>
            <w:tcW w:w="1212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426,0</w:t>
            </w:r>
          </w:p>
        </w:tc>
        <w:tc>
          <w:tcPr>
            <w:tcW w:w="1217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431,0</w:t>
            </w:r>
          </w:p>
        </w:tc>
        <w:tc>
          <w:tcPr>
            <w:tcW w:w="1142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364,25</w:t>
            </w:r>
          </w:p>
        </w:tc>
        <w:tc>
          <w:tcPr>
            <w:tcW w:w="1368" w:type="dxa"/>
          </w:tcPr>
          <w:p w:rsidR="001B2CAB" w:rsidRPr="00C07B1D" w:rsidRDefault="001B2CAB" w:rsidP="00C0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84,5</w:t>
            </w:r>
          </w:p>
        </w:tc>
        <w:tc>
          <w:tcPr>
            <w:tcW w:w="2838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</w:tr>
      <w:tr w:rsidR="001B2CAB" w:rsidTr="001B2CAB">
        <w:trPr>
          <w:trHeight w:val="525"/>
        </w:trPr>
        <w:tc>
          <w:tcPr>
            <w:tcW w:w="1862" w:type="dxa"/>
          </w:tcPr>
          <w:p w:rsidR="001B2CAB" w:rsidRPr="002F7E83" w:rsidRDefault="001B2CAB" w:rsidP="00F5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E83">
              <w:rPr>
                <w:rFonts w:ascii="Times New Roman" w:hAnsi="Times New Roman" w:cs="Times New Roman"/>
                <w:sz w:val="24"/>
                <w:szCs w:val="24"/>
              </w:rPr>
              <w:t>Профісіонали</w:t>
            </w:r>
            <w:proofErr w:type="spellEnd"/>
            <w:r w:rsidRPr="002F7E83">
              <w:rPr>
                <w:rFonts w:ascii="Times New Roman" w:hAnsi="Times New Roman" w:cs="Times New Roman"/>
                <w:sz w:val="24"/>
                <w:szCs w:val="24"/>
              </w:rPr>
              <w:t>, спеціалісти</w:t>
            </w:r>
          </w:p>
        </w:tc>
        <w:tc>
          <w:tcPr>
            <w:tcW w:w="1212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206,75</w:t>
            </w:r>
          </w:p>
        </w:tc>
        <w:tc>
          <w:tcPr>
            <w:tcW w:w="1217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227,0</w:t>
            </w:r>
          </w:p>
        </w:tc>
        <w:tc>
          <w:tcPr>
            <w:tcW w:w="1142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199,5</w:t>
            </w:r>
          </w:p>
        </w:tc>
        <w:tc>
          <w:tcPr>
            <w:tcW w:w="1368" w:type="dxa"/>
          </w:tcPr>
          <w:p w:rsidR="001B2CAB" w:rsidRPr="00C07B1D" w:rsidRDefault="001B2CAB" w:rsidP="00C0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87,9</w:t>
            </w:r>
          </w:p>
        </w:tc>
        <w:tc>
          <w:tcPr>
            <w:tcW w:w="2838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1B2CAB" w:rsidTr="001B2CAB">
        <w:trPr>
          <w:trHeight w:val="585"/>
        </w:trPr>
        <w:tc>
          <w:tcPr>
            <w:tcW w:w="1862" w:type="dxa"/>
          </w:tcPr>
          <w:p w:rsidR="001B2CAB" w:rsidRPr="002F7E83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E83">
              <w:rPr>
                <w:rFonts w:ascii="Times New Roman" w:hAnsi="Times New Roman" w:cs="Times New Roman"/>
                <w:sz w:val="24"/>
                <w:szCs w:val="24"/>
              </w:rPr>
              <w:t>Інший персонал</w:t>
            </w:r>
          </w:p>
        </w:tc>
        <w:tc>
          <w:tcPr>
            <w:tcW w:w="1212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262,0</w:t>
            </w:r>
          </w:p>
        </w:tc>
        <w:tc>
          <w:tcPr>
            <w:tcW w:w="1217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263,25</w:t>
            </w:r>
          </w:p>
        </w:tc>
        <w:tc>
          <w:tcPr>
            <w:tcW w:w="1142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240,75</w:t>
            </w:r>
          </w:p>
        </w:tc>
        <w:tc>
          <w:tcPr>
            <w:tcW w:w="1368" w:type="dxa"/>
          </w:tcPr>
          <w:p w:rsidR="001B2CAB" w:rsidRPr="00C07B1D" w:rsidRDefault="001B2CAB" w:rsidP="00C0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91,4</w:t>
            </w:r>
          </w:p>
        </w:tc>
        <w:tc>
          <w:tcPr>
            <w:tcW w:w="2838" w:type="dxa"/>
          </w:tcPr>
          <w:p w:rsidR="001B2CAB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1B2CAB" w:rsidTr="001B2CAB">
        <w:trPr>
          <w:trHeight w:val="387"/>
        </w:trPr>
        <w:tc>
          <w:tcPr>
            <w:tcW w:w="1862" w:type="dxa"/>
          </w:tcPr>
          <w:p w:rsidR="001B2CAB" w:rsidRPr="000B072A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2A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212" w:type="dxa"/>
          </w:tcPr>
          <w:p w:rsidR="001B2CAB" w:rsidRPr="000B072A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2868,25</w:t>
            </w:r>
          </w:p>
        </w:tc>
        <w:tc>
          <w:tcPr>
            <w:tcW w:w="1217" w:type="dxa"/>
          </w:tcPr>
          <w:p w:rsidR="001B2CAB" w:rsidRPr="000B072A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2907,75</w:t>
            </w:r>
          </w:p>
        </w:tc>
        <w:tc>
          <w:tcPr>
            <w:tcW w:w="1142" w:type="dxa"/>
          </w:tcPr>
          <w:p w:rsidR="001B2CAB" w:rsidRPr="000B072A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2575,25</w:t>
            </w:r>
          </w:p>
        </w:tc>
        <w:tc>
          <w:tcPr>
            <w:tcW w:w="1368" w:type="dxa"/>
          </w:tcPr>
          <w:p w:rsidR="001B2CAB" w:rsidRPr="000B072A" w:rsidRDefault="001B2CAB" w:rsidP="00C0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B07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88,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8" w:type="dxa"/>
          </w:tcPr>
          <w:p w:rsidR="001B2CAB" w:rsidRPr="000B072A" w:rsidRDefault="001B2CAB" w:rsidP="002F7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2535</w:t>
            </w:r>
          </w:p>
        </w:tc>
      </w:tr>
    </w:tbl>
    <w:p w:rsidR="00B274F6" w:rsidRDefault="006141B6" w:rsidP="00415B68">
      <w:pPr>
        <w:spacing w:after="0" w:line="240" w:lineRule="auto"/>
        <w:jc w:val="center"/>
        <w:rPr>
          <w:sz w:val="28"/>
          <w:szCs w:val="28"/>
        </w:rPr>
      </w:pPr>
      <w:r w:rsidRPr="006141B6">
        <w:rPr>
          <w:rFonts w:ascii="Times New Roman" w:hAnsi="Times New Roman" w:cs="Times New Roman"/>
          <w:b/>
          <w:sz w:val="28"/>
          <w:szCs w:val="28"/>
        </w:rPr>
        <w:t>РОЗМІР ЗАРОБІТНОЇ ПЛАТИ, В ГРН.</w:t>
      </w:r>
      <w:r w:rsidR="0063412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191250" cy="4933950"/>
            <wp:effectExtent l="38100" t="0" r="57150" b="7620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20A2" w:rsidRDefault="00E720A2" w:rsidP="00F276AE">
      <w:pPr>
        <w:pStyle w:val="a3"/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B274F6" w:rsidRPr="00A951F0" w:rsidRDefault="00F276AE" w:rsidP="00F276AE">
      <w:pPr>
        <w:pStyle w:val="a3"/>
        <w:shd w:val="clear" w:color="auto" w:fill="FFFFFF"/>
        <w:jc w:val="center"/>
        <w:rPr>
          <w:b/>
          <w:color w:val="FF0000"/>
          <w:sz w:val="28"/>
          <w:szCs w:val="28"/>
          <w:lang w:val="uk-UA"/>
        </w:rPr>
      </w:pPr>
      <w:r w:rsidRPr="00F276AE">
        <w:rPr>
          <w:b/>
          <w:sz w:val="28"/>
          <w:szCs w:val="28"/>
          <w:lang w:val="uk-UA"/>
        </w:rPr>
        <w:t>РОЗМІР ЗАРОБІТНОЇ ПЛАТИ ПРАЦІВНИКІ</w:t>
      </w:r>
      <w:r w:rsidR="00C94895">
        <w:rPr>
          <w:b/>
          <w:sz w:val="28"/>
          <w:szCs w:val="28"/>
          <w:lang w:val="uk-UA"/>
        </w:rPr>
        <w:t>В КОМУНАЛЬНИХ ПІДПРИЄМСТВ У 2024</w:t>
      </w:r>
      <w:r w:rsidRPr="00F276AE">
        <w:rPr>
          <w:b/>
          <w:sz w:val="28"/>
          <w:szCs w:val="28"/>
          <w:lang w:val="uk-UA"/>
        </w:rPr>
        <w:t xml:space="preserve"> РОЦІ</w:t>
      </w:r>
      <w:r w:rsidR="00A951F0">
        <w:rPr>
          <w:b/>
          <w:sz w:val="28"/>
          <w:szCs w:val="28"/>
          <w:lang w:val="uk-UA"/>
        </w:rPr>
        <w:t xml:space="preserve"> </w:t>
      </w:r>
      <w:r w:rsidR="00A951F0" w:rsidRPr="00A951F0">
        <w:rPr>
          <w:b/>
          <w:color w:val="FF0000"/>
          <w:sz w:val="28"/>
          <w:szCs w:val="28"/>
          <w:lang w:val="uk-UA"/>
        </w:rPr>
        <w:t>(на одну фактично зайняту посаду)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1691"/>
        <w:gridCol w:w="1860"/>
        <w:gridCol w:w="1977"/>
      </w:tblGrid>
      <w:tr w:rsidR="0037156D" w:rsidTr="00E720A2">
        <w:trPr>
          <w:trHeight w:val="510"/>
        </w:trPr>
        <w:tc>
          <w:tcPr>
            <w:tcW w:w="4395" w:type="dxa"/>
            <w:vMerge w:val="restart"/>
          </w:tcPr>
          <w:p w:rsidR="0037156D" w:rsidRDefault="0037156D" w:rsidP="0037156D">
            <w:pPr>
              <w:pStyle w:val="a3"/>
              <w:shd w:val="clear" w:color="auto" w:fill="FFFFFF"/>
              <w:ind w:left="9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Підприємства</w:t>
            </w:r>
          </w:p>
          <w:p w:rsidR="0037156D" w:rsidRDefault="0037156D" w:rsidP="0037156D">
            <w:pPr>
              <w:pStyle w:val="a3"/>
              <w:shd w:val="clear" w:color="auto" w:fill="FFFFFF"/>
              <w:ind w:left="35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1" w:type="dxa"/>
            <w:vMerge w:val="restart"/>
          </w:tcPr>
          <w:p w:rsidR="0037156D" w:rsidRDefault="00A74C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Всього, в грн</w:t>
            </w:r>
          </w:p>
          <w:p w:rsidR="0037156D" w:rsidRDefault="0037156D" w:rsidP="0037156D">
            <w:pPr>
              <w:pStyle w:val="a3"/>
              <w:shd w:val="clear" w:color="auto" w:fill="FFFFFF"/>
              <w:ind w:left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37" w:type="dxa"/>
            <w:gridSpan w:val="2"/>
          </w:tcPr>
          <w:p w:rsidR="0037156D" w:rsidRDefault="00A74C93" w:rsidP="0037156D">
            <w:pPr>
              <w:pStyle w:val="a3"/>
              <w:shd w:val="clear" w:color="auto" w:fill="FFFFFF"/>
              <w:ind w:left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 т.ч.</w:t>
            </w:r>
          </w:p>
        </w:tc>
      </w:tr>
      <w:tr w:rsidR="0037156D" w:rsidTr="00E720A2">
        <w:trPr>
          <w:trHeight w:val="367"/>
        </w:trPr>
        <w:tc>
          <w:tcPr>
            <w:tcW w:w="4395" w:type="dxa"/>
            <w:vMerge/>
          </w:tcPr>
          <w:p w:rsidR="0037156D" w:rsidRDefault="0037156D" w:rsidP="0037156D">
            <w:pPr>
              <w:pStyle w:val="a3"/>
              <w:shd w:val="clear" w:color="auto" w:fill="FFFFFF"/>
              <w:ind w:left="35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1" w:type="dxa"/>
            <w:vMerge/>
          </w:tcPr>
          <w:p w:rsidR="0037156D" w:rsidRDefault="0037156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</w:tcPr>
          <w:p w:rsidR="0037156D" w:rsidRPr="00A74C93" w:rsidRDefault="00A74C93" w:rsidP="0037156D">
            <w:pPr>
              <w:pStyle w:val="a3"/>
              <w:shd w:val="clear" w:color="auto" w:fill="FFFFFF"/>
              <w:ind w:left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лікарі</w:t>
            </w:r>
          </w:p>
        </w:tc>
        <w:tc>
          <w:tcPr>
            <w:tcW w:w="1977" w:type="dxa"/>
          </w:tcPr>
          <w:p w:rsidR="0037156D" w:rsidRPr="00A74C93" w:rsidRDefault="00A74C93" w:rsidP="0037156D">
            <w:pPr>
              <w:pStyle w:val="a3"/>
              <w:shd w:val="clear" w:color="auto" w:fill="FFFFFF"/>
              <w:ind w:left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медсестри</w:t>
            </w:r>
          </w:p>
        </w:tc>
      </w:tr>
      <w:tr w:rsidR="0037156D" w:rsidTr="00E720A2">
        <w:trPr>
          <w:trHeight w:val="582"/>
        </w:trPr>
        <w:tc>
          <w:tcPr>
            <w:tcW w:w="4395" w:type="dxa"/>
          </w:tcPr>
          <w:p w:rsidR="0037156D" w:rsidRPr="00A74C93" w:rsidRDefault="00A74C93" w:rsidP="00A74C93">
            <w:pPr>
              <w:pStyle w:val="a3"/>
              <w:shd w:val="clear" w:color="auto" w:fill="FFFFFF"/>
              <w:ind w:left="0"/>
              <w:rPr>
                <w:sz w:val="28"/>
                <w:szCs w:val="28"/>
                <w:lang w:val="uk-UA"/>
              </w:rPr>
            </w:pPr>
            <w:r w:rsidRPr="00A74C93">
              <w:rPr>
                <w:sz w:val="28"/>
                <w:szCs w:val="28"/>
                <w:lang w:val="uk-UA"/>
              </w:rPr>
              <w:t xml:space="preserve">Медичне </w:t>
            </w:r>
            <w:proofErr w:type="spellStart"/>
            <w:r w:rsidRPr="00A74C93">
              <w:rPr>
                <w:sz w:val="28"/>
                <w:szCs w:val="28"/>
                <w:lang w:val="uk-UA"/>
              </w:rPr>
              <w:t>об’</w:t>
            </w:r>
            <w:r w:rsidRPr="00A74C93">
              <w:rPr>
                <w:sz w:val="28"/>
                <w:szCs w:val="28"/>
                <w:lang w:val="en-US"/>
              </w:rPr>
              <w:t>єднання</w:t>
            </w:r>
            <w:proofErr w:type="spellEnd"/>
            <w:r w:rsidRPr="00A74C9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C93">
              <w:rPr>
                <w:sz w:val="28"/>
                <w:szCs w:val="28"/>
                <w:lang w:val="en-US"/>
              </w:rPr>
              <w:t>Луцької</w:t>
            </w:r>
            <w:proofErr w:type="spellEnd"/>
            <w:r w:rsidRPr="00A74C93">
              <w:rPr>
                <w:sz w:val="28"/>
                <w:szCs w:val="28"/>
                <w:lang w:val="en-US"/>
              </w:rPr>
              <w:t xml:space="preserve"> М</w:t>
            </w:r>
            <w:r w:rsidRPr="00A74C93">
              <w:rPr>
                <w:sz w:val="28"/>
                <w:szCs w:val="28"/>
                <w:lang w:val="uk-UA"/>
              </w:rPr>
              <w:t>ТГ</w:t>
            </w:r>
          </w:p>
          <w:p w:rsidR="0037156D" w:rsidRPr="00A74C93" w:rsidRDefault="0037156D" w:rsidP="00A74C93">
            <w:pPr>
              <w:pStyle w:val="a3"/>
              <w:shd w:val="clear" w:color="auto" w:fill="FFFFFF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691" w:type="dxa"/>
          </w:tcPr>
          <w:p w:rsidR="0037156D" w:rsidRDefault="00A74C93" w:rsidP="00E720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  <w:r w:rsidR="00E72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1860" w:type="dxa"/>
          </w:tcPr>
          <w:p w:rsidR="0037156D" w:rsidRDefault="00E720A2" w:rsidP="00E720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1977" w:type="dxa"/>
          </w:tcPr>
          <w:p w:rsidR="0037156D" w:rsidRDefault="00E720A2" w:rsidP="00E720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513</w:t>
            </w:r>
          </w:p>
        </w:tc>
      </w:tr>
      <w:tr w:rsidR="0037156D" w:rsidTr="00E720A2">
        <w:trPr>
          <w:trHeight w:val="450"/>
        </w:trPr>
        <w:tc>
          <w:tcPr>
            <w:tcW w:w="4395" w:type="dxa"/>
          </w:tcPr>
          <w:p w:rsidR="0037156D" w:rsidRPr="00A74C93" w:rsidRDefault="00A74C93" w:rsidP="00A74C93">
            <w:pPr>
              <w:pStyle w:val="a3"/>
              <w:shd w:val="clear" w:color="auto" w:fill="FFFFFF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Луцький клінічний пологовий будинок</w:t>
            </w:r>
          </w:p>
        </w:tc>
        <w:tc>
          <w:tcPr>
            <w:tcW w:w="1691" w:type="dxa"/>
          </w:tcPr>
          <w:p w:rsidR="0037156D" w:rsidRDefault="00A74C93" w:rsidP="00E720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E72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983</w:t>
            </w:r>
          </w:p>
        </w:tc>
        <w:tc>
          <w:tcPr>
            <w:tcW w:w="1860" w:type="dxa"/>
          </w:tcPr>
          <w:p w:rsidR="0037156D" w:rsidRDefault="00E720A2" w:rsidP="00E720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1977" w:type="dxa"/>
          </w:tcPr>
          <w:p w:rsidR="0037156D" w:rsidRDefault="00E720A2" w:rsidP="00E720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426</w:t>
            </w:r>
          </w:p>
        </w:tc>
      </w:tr>
      <w:tr w:rsidR="0037156D" w:rsidTr="00E720A2">
        <w:trPr>
          <w:trHeight w:val="315"/>
        </w:trPr>
        <w:tc>
          <w:tcPr>
            <w:tcW w:w="4395" w:type="dxa"/>
          </w:tcPr>
          <w:p w:rsidR="0037156D" w:rsidRPr="00A74C93" w:rsidRDefault="00A74C93" w:rsidP="00A74C93">
            <w:pPr>
              <w:pStyle w:val="a3"/>
              <w:shd w:val="clear" w:color="auto" w:fill="FFFFFF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Медичний центр реабілітації учасників бойових дій Луцької МТГ</w:t>
            </w:r>
          </w:p>
        </w:tc>
        <w:tc>
          <w:tcPr>
            <w:tcW w:w="1691" w:type="dxa"/>
          </w:tcPr>
          <w:p w:rsidR="0037156D" w:rsidRDefault="00A74C93" w:rsidP="00A74C93">
            <w:pPr>
              <w:pStyle w:val="a3"/>
              <w:shd w:val="clear" w:color="auto" w:fill="FFFFFF"/>
              <w:ind w:left="35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36</w:t>
            </w:r>
            <w:r w:rsidR="00E720A2">
              <w:rPr>
                <w:b/>
                <w:sz w:val="28"/>
                <w:szCs w:val="28"/>
                <w:lang w:val="en-US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344</w:t>
            </w:r>
          </w:p>
        </w:tc>
        <w:tc>
          <w:tcPr>
            <w:tcW w:w="1860" w:type="dxa"/>
          </w:tcPr>
          <w:p w:rsidR="0037156D" w:rsidRDefault="00E720A2" w:rsidP="00E720A2">
            <w:pPr>
              <w:pStyle w:val="a3"/>
              <w:shd w:val="clear" w:color="auto" w:fill="FFFFFF"/>
              <w:ind w:left="35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</w:t>
            </w:r>
            <w:r>
              <w:rPr>
                <w:b/>
                <w:sz w:val="28"/>
                <w:szCs w:val="28"/>
                <w:lang w:val="en-US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152</w:t>
            </w:r>
          </w:p>
        </w:tc>
        <w:tc>
          <w:tcPr>
            <w:tcW w:w="1977" w:type="dxa"/>
          </w:tcPr>
          <w:p w:rsidR="0037156D" w:rsidRDefault="00E720A2" w:rsidP="00E720A2">
            <w:pPr>
              <w:pStyle w:val="a3"/>
              <w:shd w:val="clear" w:color="auto" w:fill="FFFFFF"/>
              <w:ind w:left="35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  <w:r>
              <w:rPr>
                <w:b/>
                <w:sz w:val="28"/>
                <w:szCs w:val="28"/>
                <w:lang w:val="en-US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740</w:t>
            </w:r>
          </w:p>
        </w:tc>
      </w:tr>
      <w:tr w:rsidR="0037156D" w:rsidTr="00E720A2">
        <w:trPr>
          <w:trHeight w:val="315"/>
        </w:trPr>
        <w:tc>
          <w:tcPr>
            <w:tcW w:w="4395" w:type="dxa"/>
          </w:tcPr>
          <w:p w:rsidR="0037156D" w:rsidRPr="00A74C93" w:rsidRDefault="00A74C93" w:rsidP="00A74C93">
            <w:pPr>
              <w:pStyle w:val="a3"/>
              <w:shd w:val="clear" w:color="auto" w:fill="FFFFFF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Луцька міська дитяча поліклініка</w:t>
            </w:r>
          </w:p>
        </w:tc>
        <w:tc>
          <w:tcPr>
            <w:tcW w:w="1691" w:type="dxa"/>
          </w:tcPr>
          <w:p w:rsidR="0037156D" w:rsidRDefault="00A74C93" w:rsidP="00A74C93">
            <w:pPr>
              <w:pStyle w:val="a3"/>
              <w:shd w:val="clear" w:color="auto" w:fill="FFFFFF"/>
              <w:ind w:left="35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  <w:r w:rsidR="00E720A2">
              <w:rPr>
                <w:b/>
                <w:sz w:val="28"/>
                <w:szCs w:val="28"/>
                <w:lang w:val="en-US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775</w:t>
            </w:r>
          </w:p>
        </w:tc>
        <w:tc>
          <w:tcPr>
            <w:tcW w:w="1860" w:type="dxa"/>
          </w:tcPr>
          <w:p w:rsidR="0037156D" w:rsidRDefault="00E720A2" w:rsidP="00E720A2">
            <w:pPr>
              <w:pStyle w:val="a3"/>
              <w:shd w:val="clear" w:color="auto" w:fill="FFFFFF"/>
              <w:ind w:left="35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</w:t>
            </w:r>
            <w:r>
              <w:rPr>
                <w:b/>
                <w:sz w:val="28"/>
                <w:szCs w:val="28"/>
                <w:lang w:val="en-US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751</w:t>
            </w:r>
          </w:p>
        </w:tc>
        <w:tc>
          <w:tcPr>
            <w:tcW w:w="1977" w:type="dxa"/>
          </w:tcPr>
          <w:p w:rsidR="0037156D" w:rsidRDefault="00E720A2" w:rsidP="00E720A2">
            <w:pPr>
              <w:pStyle w:val="a3"/>
              <w:shd w:val="clear" w:color="auto" w:fill="FFFFFF"/>
              <w:ind w:left="35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  <w:r>
              <w:rPr>
                <w:b/>
                <w:sz w:val="28"/>
                <w:szCs w:val="28"/>
                <w:lang w:val="en-US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261</w:t>
            </w:r>
          </w:p>
        </w:tc>
      </w:tr>
      <w:tr w:rsidR="0037156D" w:rsidTr="00E720A2">
        <w:trPr>
          <w:trHeight w:val="405"/>
        </w:trPr>
        <w:tc>
          <w:tcPr>
            <w:tcW w:w="4395" w:type="dxa"/>
          </w:tcPr>
          <w:p w:rsidR="0037156D" w:rsidRPr="00A74C93" w:rsidRDefault="00A74C93" w:rsidP="00A74C93">
            <w:pPr>
              <w:pStyle w:val="a3"/>
              <w:shd w:val="clear" w:color="auto" w:fill="FFFFFF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Луцька міська клінічна стоматологічна поліклін</w:t>
            </w:r>
            <w:r w:rsidR="00E720A2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ка</w:t>
            </w:r>
          </w:p>
        </w:tc>
        <w:tc>
          <w:tcPr>
            <w:tcW w:w="1691" w:type="dxa"/>
          </w:tcPr>
          <w:p w:rsidR="0037156D" w:rsidRDefault="00A74C93" w:rsidP="00A74C93">
            <w:pPr>
              <w:pStyle w:val="a3"/>
              <w:shd w:val="clear" w:color="auto" w:fill="FFFFFF"/>
              <w:ind w:left="35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</w:t>
            </w:r>
            <w:r w:rsidR="00E720A2">
              <w:rPr>
                <w:b/>
                <w:sz w:val="28"/>
                <w:szCs w:val="28"/>
                <w:lang w:val="en-US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256</w:t>
            </w:r>
          </w:p>
        </w:tc>
        <w:tc>
          <w:tcPr>
            <w:tcW w:w="1860" w:type="dxa"/>
          </w:tcPr>
          <w:p w:rsidR="0037156D" w:rsidRDefault="00E720A2" w:rsidP="00E720A2">
            <w:pPr>
              <w:pStyle w:val="a3"/>
              <w:shd w:val="clear" w:color="auto" w:fill="FFFFFF"/>
              <w:ind w:left="35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25</w:t>
            </w:r>
            <w:r>
              <w:rPr>
                <w:b/>
                <w:sz w:val="28"/>
                <w:szCs w:val="28"/>
                <w:lang w:val="en-US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448</w:t>
            </w:r>
          </w:p>
        </w:tc>
        <w:tc>
          <w:tcPr>
            <w:tcW w:w="1977" w:type="dxa"/>
          </w:tcPr>
          <w:p w:rsidR="0037156D" w:rsidRDefault="00E720A2" w:rsidP="00E720A2">
            <w:pPr>
              <w:pStyle w:val="a3"/>
              <w:shd w:val="clear" w:color="auto" w:fill="FFFFFF"/>
              <w:ind w:left="35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  <w:r>
              <w:rPr>
                <w:b/>
                <w:sz w:val="28"/>
                <w:szCs w:val="28"/>
                <w:lang w:val="en-US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226</w:t>
            </w:r>
          </w:p>
        </w:tc>
      </w:tr>
      <w:tr w:rsidR="00E720A2" w:rsidTr="00E720A2">
        <w:trPr>
          <w:trHeight w:val="405"/>
        </w:trPr>
        <w:tc>
          <w:tcPr>
            <w:tcW w:w="4395" w:type="dxa"/>
          </w:tcPr>
          <w:p w:rsidR="00E720A2" w:rsidRDefault="00E720A2" w:rsidP="00A74C93">
            <w:pPr>
              <w:pStyle w:val="a3"/>
              <w:shd w:val="clear" w:color="auto" w:fill="FFFFFF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91" w:type="dxa"/>
          </w:tcPr>
          <w:p w:rsidR="00E720A2" w:rsidRDefault="00E720A2" w:rsidP="00A74C93">
            <w:pPr>
              <w:pStyle w:val="a3"/>
              <w:shd w:val="clear" w:color="auto" w:fill="FFFFFF"/>
              <w:ind w:left="35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</w:t>
            </w:r>
            <w:r>
              <w:rPr>
                <w:b/>
                <w:sz w:val="28"/>
                <w:szCs w:val="28"/>
                <w:lang w:val="en-US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131</w:t>
            </w:r>
          </w:p>
        </w:tc>
        <w:tc>
          <w:tcPr>
            <w:tcW w:w="1860" w:type="dxa"/>
          </w:tcPr>
          <w:p w:rsidR="00E720A2" w:rsidRDefault="00E720A2" w:rsidP="00E720A2">
            <w:pPr>
              <w:pStyle w:val="a3"/>
              <w:shd w:val="clear" w:color="auto" w:fill="FFFFFF"/>
              <w:ind w:left="35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</w:t>
            </w:r>
            <w:r>
              <w:rPr>
                <w:b/>
                <w:sz w:val="28"/>
                <w:szCs w:val="28"/>
                <w:lang w:val="en-US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722</w:t>
            </w:r>
          </w:p>
        </w:tc>
        <w:tc>
          <w:tcPr>
            <w:tcW w:w="1977" w:type="dxa"/>
          </w:tcPr>
          <w:p w:rsidR="00E720A2" w:rsidRDefault="00E720A2" w:rsidP="00E720A2">
            <w:pPr>
              <w:pStyle w:val="a3"/>
              <w:shd w:val="clear" w:color="auto" w:fill="FFFFFF"/>
              <w:ind w:left="35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  <w:r>
              <w:rPr>
                <w:b/>
                <w:sz w:val="28"/>
                <w:szCs w:val="28"/>
                <w:lang w:val="en-US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530</w:t>
            </w:r>
          </w:p>
        </w:tc>
      </w:tr>
    </w:tbl>
    <w:p w:rsidR="009B7DAB" w:rsidRDefault="004B6708" w:rsidP="004573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!!! </w:t>
      </w:r>
      <w:r w:rsidR="009B7DAB" w:rsidRPr="004B67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Додатково для відома:</w:t>
      </w:r>
      <w:r w:rsidR="009B7DAB" w:rsidRPr="003A51D6">
        <w:rPr>
          <w:rFonts w:ascii="Times New Roman" w:hAnsi="Times New Roman" w:cs="Times New Roman"/>
          <w:sz w:val="28"/>
          <w:szCs w:val="28"/>
        </w:rPr>
        <w:t xml:space="preserve"> за інформацією комунальних підприємств за даними звітності форми 4 </w:t>
      </w:r>
      <w:proofErr w:type="spellStart"/>
      <w:r w:rsidR="009B7DAB" w:rsidRPr="003A51D6">
        <w:rPr>
          <w:rFonts w:ascii="Times New Roman" w:hAnsi="Times New Roman" w:cs="Times New Roman"/>
          <w:sz w:val="28"/>
          <w:szCs w:val="28"/>
        </w:rPr>
        <w:t>ДФ</w:t>
      </w:r>
      <w:proofErr w:type="spellEnd"/>
      <w:r w:rsidR="009B7DAB" w:rsidRPr="003A51D6">
        <w:rPr>
          <w:rFonts w:ascii="Times New Roman" w:hAnsi="Times New Roman" w:cs="Times New Roman"/>
          <w:sz w:val="28"/>
          <w:szCs w:val="28"/>
        </w:rPr>
        <w:t xml:space="preserve"> «відомості про суми нарахованого доходу, утриманого та сплаченого податку на доходи фізичних осіб та військового збору» перерахована сума податку на доходи фізичних осіб до бюджету за 2</w:t>
      </w:r>
      <w:r w:rsidR="00864A16">
        <w:rPr>
          <w:rFonts w:ascii="Times New Roman" w:hAnsi="Times New Roman" w:cs="Times New Roman"/>
          <w:sz w:val="28"/>
          <w:szCs w:val="28"/>
        </w:rPr>
        <w:t>024</w:t>
      </w:r>
      <w:r w:rsidR="009B7DAB" w:rsidRPr="003A51D6">
        <w:rPr>
          <w:rFonts w:ascii="Times New Roman" w:hAnsi="Times New Roman" w:cs="Times New Roman"/>
          <w:sz w:val="28"/>
          <w:szCs w:val="28"/>
        </w:rPr>
        <w:t xml:space="preserve"> рік склала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A16">
        <w:rPr>
          <w:rFonts w:ascii="Times New Roman" w:hAnsi="Times New Roman" w:cs="Times New Roman"/>
          <w:sz w:val="28"/>
          <w:szCs w:val="28"/>
        </w:rPr>
        <w:t>–</w:t>
      </w:r>
      <w:r w:rsidR="009B7DAB" w:rsidRPr="003A51D6">
        <w:rPr>
          <w:rFonts w:ascii="Times New Roman" w:hAnsi="Times New Roman" w:cs="Times New Roman"/>
          <w:sz w:val="28"/>
          <w:szCs w:val="28"/>
        </w:rPr>
        <w:t xml:space="preserve"> </w:t>
      </w:r>
      <w:r w:rsidR="00864A16">
        <w:rPr>
          <w:rFonts w:ascii="Times New Roman" w:hAnsi="Times New Roman" w:cs="Times New Roman"/>
          <w:b/>
          <w:sz w:val="28"/>
          <w:szCs w:val="28"/>
        </w:rPr>
        <w:t>107,4</w:t>
      </w:r>
      <w:r w:rsidRPr="004B6708">
        <w:rPr>
          <w:rFonts w:ascii="Times New Roman" w:hAnsi="Times New Roman" w:cs="Times New Roman"/>
          <w:b/>
          <w:sz w:val="28"/>
          <w:szCs w:val="28"/>
        </w:rPr>
        <w:t xml:space="preserve"> млн. грн</w:t>
      </w:r>
      <w:r>
        <w:rPr>
          <w:rFonts w:ascii="Times New Roman" w:hAnsi="Times New Roman" w:cs="Times New Roman"/>
          <w:sz w:val="28"/>
          <w:szCs w:val="28"/>
        </w:rPr>
        <w:t xml:space="preserve"> (2022 рік - </w:t>
      </w:r>
      <w:r w:rsidR="009B7DAB" w:rsidRPr="003A51D6">
        <w:rPr>
          <w:rFonts w:ascii="Times New Roman" w:hAnsi="Times New Roman" w:cs="Times New Roman"/>
          <w:sz w:val="28"/>
          <w:szCs w:val="28"/>
        </w:rPr>
        <w:t>93,1 млн. грн</w:t>
      </w:r>
      <w:r w:rsidR="00864A16">
        <w:rPr>
          <w:rFonts w:ascii="Times New Roman" w:hAnsi="Times New Roman" w:cs="Times New Roman"/>
          <w:sz w:val="28"/>
          <w:szCs w:val="28"/>
        </w:rPr>
        <w:t>, 2023 рік – 99,6 млн. грн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9B7DAB" w:rsidRPr="003A51D6">
        <w:rPr>
          <w:rFonts w:ascii="Times New Roman" w:hAnsi="Times New Roman" w:cs="Times New Roman"/>
          <w:sz w:val="28"/>
          <w:szCs w:val="28"/>
        </w:rPr>
        <w:t xml:space="preserve">, з яких </w:t>
      </w:r>
      <w:r w:rsidR="009B7DAB" w:rsidRPr="003A51D6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перераховано згідно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вимогами </w:t>
      </w:r>
      <w:hyperlink r:id="rId12" w:tgtFrame="_blank" w:history="1">
        <w:r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Податкового кодексу</w:t>
        </w:r>
        <w:r w:rsidR="009B7DAB" w:rsidRPr="003A51D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України</w:t>
        </w:r>
      </w:hyperlink>
      <w:r w:rsidR="009B7DAB" w:rsidRPr="003A51D6">
        <w:rPr>
          <w:rFonts w:ascii="Times New Roman" w:hAnsi="Times New Roman" w:cs="Times New Roman"/>
          <w:sz w:val="28"/>
          <w:szCs w:val="28"/>
          <w:shd w:val="clear" w:color="auto" w:fill="FFFFFF"/>
        </w:rPr>
        <w:t> в бюджет Луцької міської територіальної громади</w:t>
      </w:r>
      <w:r w:rsidR="009B7DAB" w:rsidRPr="007964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bookmarkStart w:id="0" w:name="_GoBack"/>
      <w:r w:rsidR="00864A1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68,7</w:t>
      </w:r>
      <w:r w:rsidRPr="004B670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млн. грн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B6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(2022 рік - </w:t>
      </w:r>
      <w:r w:rsidR="003A51D6" w:rsidRPr="004B6708">
        <w:rPr>
          <w:rFonts w:ascii="Times New Roman" w:hAnsi="Times New Roman" w:cs="Times New Roman"/>
          <w:sz w:val="28"/>
          <w:szCs w:val="28"/>
          <w:shd w:val="clear" w:color="auto" w:fill="FFFFFF"/>
        </w:rPr>
        <w:t>55,9</w:t>
      </w:r>
      <w:r w:rsidR="009B7DAB" w:rsidRPr="004B6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млн. грн</w:t>
      </w:r>
      <w:bookmarkEnd w:id="0"/>
      <w:r w:rsidR="00864A16">
        <w:rPr>
          <w:rFonts w:ascii="Times New Roman" w:hAnsi="Times New Roman" w:cs="Times New Roman"/>
          <w:sz w:val="28"/>
          <w:szCs w:val="28"/>
          <w:shd w:val="clear" w:color="auto" w:fill="FFFFFF"/>
        </w:rPr>
        <w:t>, 2023 рік – 59,7 млн. грн</w:t>
      </w:r>
      <w:r w:rsidRPr="004B6708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D041B8" w:rsidRDefault="00D041B8" w:rsidP="004573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2E66" w:rsidRPr="006E2150" w:rsidRDefault="00BB2E66" w:rsidP="00BB2E66"/>
    <w:p w:rsidR="005A1BCA" w:rsidRDefault="00BA0854" w:rsidP="008913C2">
      <w:pPr>
        <w:spacing w:after="0" w:line="240" w:lineRule="auto"/>
        <w:ind w:firstLine="567"/>
        <w:jc w:val="both"/>
        <w:rPr>
          <w:b/>
          <w:color w:val="984806" w:themeColor="accent6" w:themeShade="80"/>
          <w:sz w:val="28"/>
          <w:szCs w:val="28"/>
          <w:u w:val="single"/>
        </w:rPr>
      </w:pPr>
      <w:r>
        <w:rPr>
          <w:b/>
          <w:color w:val="984806" w:themeColor="accent6" w:themeShade="80"/>
          <w:sz w:val="28"/>
          <w:szCs w:val="28"/>
          <w:u w:val="single"/>
        </w:rPr>
        <w:t>А</w:t>
      </w:r>
      <w:r w:rsidR="005A1BCA">
        <w:rPr>
          <w:b/>
          <w:color w:val="984806" w:themeColor="accent6" w:themeShade="80"/>
          <w:sz w:val="28"/>
          <w:szCs w:val="28"/>
          <w:u w:val="single"/>
        </w:rPr>
        <w:t xml:space="preserve">дміністративно – </w:t>
      </w:r>
      <w:r w:rsidR="005A1BCA" w:rsidRPr="005A1BCA">
        <w:rPr>
          <w:b/>
          <w:color w:val="984806" w:themeColor="accent6" w:themeShade="80"/>
          <w:sz w:val="28"/>
          <w:szCs w:val="28"/>
          <w:u w:val="single"/>
        </w:rPr>
        <w:t>організаційна</w:t>
      </w:r>
      <w:r w:rsidR="005A1BCA">
        <w:rPr>
          <w:b/>
          <w:color w:val="984806" w:themeColor="accent6" w:themeShade="80"/>
          <w:sz w:val="28"/>
          <w:szCs w:val="28"/>
          <w:u w:val="single"/>
        </w:rPr>
        <w:t xml:space="preserve"> робота</w:t>
      </w:r>
      <w:r w:rsidR="00453415">
        <w:rPr>
          <w:b/>
          <w:color w:val="984806" w:themeColor="accent6" w:themeShade="80"/>
          <w:sz w:val="28"/>
          <w:szCs w:val="28"/>
          <w:u w:val="single"/>
        </w:rPr>
        <w:t xml:space="preserve"> в умовах воєнного стану</w:t>
      </w:r>
    </w:p>
    <w:p w:rsidR="00453415" w:rsidRDefault="00EA36D2" w:rsidP="00EA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Pr="00EA36D2">
        <w:rPr>
          <w:rFonts w:ascii="Times New Roman" w:hAnsi="Times New Roman" w:cs="Times New Roman"/>
          <w:sz w:val="28"/>
          <w:szCs w:val="28"/>
        </w:rPr>
        <w:t xml:space="preserve"> доручення міського голови від 26.10.2023 № 0-9/27 за результатами проведення командно-штабного навчання «Про готовність органів управління, сил та засобів спеціалізованих служб, об’єктів критичної інфраструктури до дій при виникненні </w:t>
      </w:r>
      <w:proofErr w:type="spellStart"/>
      <w:r w:rsidRPr="00EA36D2">
        <w:rPr>
          <w:rFonts w:ascii="Times New Roman" w:hAnsi="Times New Roman" w:cs="Times New Roman"/>
          <w:sz w:val="28"/>
          <w:szCs w:val="28"/>
        </w:rPr>
        <w:t>блекауту</w:t>
      </w:r>
      <w:proofErr w:type="spellEnd"/>
      <w:r w:rsidRPr="00EA36D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комунальні підприємства забезпечені нео</w:t>
      </w:r>
      <w:r w:rsidR="00453415">
        <w:rPr>
          <w:rFonts w:ascii="Times New Roman" w:hAnsi="Times New Roman" w:cs="Times New Roman"/>
          <w:sz w:val="28"/>
          <w:szCs w:val="28"/>
        </w:rPr>
        <w:t>бхідною кількістю генераторів і</w:t>
      </w:r>
      <w:r>
        <w:rPr>
          <w:rFonts w:ascii="Times New Roman" w:hAnsi="Times New Roman" w:cs="Times New Roman"/>
          <w:sz w:val="28"/>
          <w:szCs w:val="28"/>
        </w:rPr>
        <w:t xml:space="preserve"> запасом пального </w:t>
      </w:r>
      <w:r w:rsidR="00453415">
        <w:rPr>
          <w:rFonts w:ascii="Times New Roman" w:hAnsi="Times New Roman" w:cs="Times New Roman"/>
          <w:sz w:val="28"/>
          <w:szCs w:val="28"/>
        </w:rPr>
        <w:t xml:space="preserve">для їх роботи в умовах </w:t>
      </w:r>
      <w:proofErr w:type="spellStart"/>
      <w:r w:rsidR="00453415">
        <w:rPr>
          <w:rFonts w:ascii="Times New Roman" w:hAnsi="Times New Roman" w:cs="Times New Roman"/>
          <w:sz w:val="28"/>
          <w:szCs w:val="28"/>
        </w:rPr>
        <w:t>блекауту</w:t>
      </w:r>
      <w:proofErr w:type="spellEnd"/>
      <w:r w:rsidR="00453415">
        <w:rPr>
          <w:rFonts w:ascii="Times New Roman" w:hAnsi="Times New Roman" w:cs="Times New Roman"/>
          <w:sz w:val="28"/>
          <w:szCs w:val="28"/>
        </w:rPr>
        <w:t xml:space="preserve"> </w:t>
      </w:r>
      <w:r w:rsidR="00453415" w:rsidRPr="00453415">
        <w:rPr>
          <w:rFonts w:ascii="Times New Roman" w:hAnsi="Times New Roman" w:cs="Times New Roman"/>
          <w:sz w:val="28"/>
          <w:szCs w:val="28"/>
        </w:rPr>
        <w:t>та розпорядчими документами керівників призначені відповідальні особи за зберігання недоторканого запасу палива для генераторів</w:t>
      </w:r>
      <w:r w:rsidR="00453415">
        <w:rPr>
          <w:sz w:val="28"/>
          <w:szCs w:val="28"/>
        </w:rPr>
        <w:t>.</w:t>
      </w:r>
    </w:p>
    <w:p w:rsidR="00EA36D2" w:rsidRDefault="00EA36D2" w:rsidP="00EA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виконання р</w:t>
      </w:r>
      <w:r w:rsidRPr="009A61BF">
        <w:rPr>
          <w:rFonts w:ascii="Times New Roman" w:hAnsi="Times New Roman" w:cs="Times New Roman"/>
          <w:sz w:val="28"/>
          <w:szCs w:val="28"/>
        </w:rPr>
        <w:t>озпорядження міського голови від 27.11.2023 № 423 «Про місцевий матеріальний резерв Луцької міської територіальної громади» на підприємствах за рахунок власних надходжень сформовано недоторканий запас медикаментів та виробів медичного призначення для забезпечення надання медичної допомоги у випадку виникнення і ліквідації наслідків надзвичайних ситуацій техногенного і природного характеру згідно з вимогами постанови Кабінету Міністрів України від 30.09.2015 № 775 «</w:t>
      </w:r>
      <w:r w:rsidRPr="009A61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створення та використання матеріальних резервів для запобігання і ліквідації наслідків надзвичайних ситуацій</w:t>
      </w:r>
      <w:r w:rsidRPr="009A61BF">
        <w:rPr>
          <w:rFonts w:ascii="Times New Roman" w:hAnsi="Times New Roman" w:cs="Times New Roman"/>
          <w:sz w:val="28"/>
          <w:szCs w:val="28"/>
        </w:rPr>
        <w:t>» (в редакції від 24.03.2023 № 258) та проводиться оновлення запасу матеріального резерву у зв’язку із закінченням встановленого строку зберігання, а також виникнення обставин, які можуть призвести до псування або погіршення якості продукції до закінчення строку її зберігання.</w:t>
      </w:r>
    </w:p>
    <w:p w:rsidR="009904AE" w:rsidRDefault="009904AE" w:rsidP="00EA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889">
        <w:rPr>
          <w:rFonts w:ascii="Times New Roman" w:hAnsi="Times New Roman" w:cs="Times New Roman"/>
          <w:sz w:val="28"/>
          <w:szCs w:val="28"/>
        </w:rPr>
        <w:t>В закладах розроблені внутрішні розпорядчі документи</w:t>
      </w:r>
      <w:r w:rsidR="00B20889" w:rsidRPr="00B20889">
        <w:rPr>
          <w:rFonts w:ascii="Times New Roman" w:hAnsi="Times New Roman" w:cs="Times New Roman"/>
          <w:sz w:val="28"/>
          <w:szCs w:val="28"/>
        </w:rPr>
        <w:t xml:space="preserve"> щодо маршрутизації пацієнтів в умовах воєнного стану згідно з вимогами наказів </w:t>
      </w:r>
      <w:r w:rsidRPr="00B20889">
        <w:rPr>
          <w:rFonts w:ascii="Times New Roman" w:hAnsi="Times New Roman" w:cs="Times New Roman"/>
          <w:sz w:val="28"/>
          <w:szCs w:val="28"/>
        </w:rPr>
        <w:t xml:space="preserve"> </w:t>
      </w:r>
      <w:r w:rsidR="00B20889" w:rsidRPr="00B20889">
        <w:rPr>
          <w:rFonts w:ascii="Times New Roman" w:hAnsi="Times New Roman" w:cs="Times New Roman"/>
          <w:sz w:val="28"/>
          <w:szCs w:val="28"/>
        </w:rPr>
        <w:t xml:space="preserve">Міністерства охорони здоров’я України від 28.02.2020 № 586 «Про затвердження Порядку направлення пацієнтів до закладів охорони здоров’я та </w:t>
      </w:r>
      <w:r w:rsidR="00B20889" w:rsidRPr="00B20889">
        <w:rPr>
          <w:rFonts w:ascii="Times New Roman" w:hAnsi="Times New Roman" w:cs="Times New Roman"/>
          <w:sz w:val="28"/>
          <w:szCs w:val="28"/>
        </w:rPr>
        <w:lastRenderedPageBreak/>
        <w:t>фізичних осіб – підприємців, які в установленому законом порядку одержали ліцензію на провадження господарської діяльності з медичної практики та надають медичну допомог</w:t>
      </w:r>
      <w:r w:rsidR="007368D4">
        <w:rPr>
          <w:rFonts w:ascii="Times New Roman" w:hAnsi="Times New Roman" w:cs="Times New Roman"/>
          <w:sz w:val="28"/>
          <w:szCs w:val="28"/>
        </w:rPr>
        <w:t xml:space="preserve">у відповідного виду» та від </w:t>
      </w:r>
      <w:r w:rsidR="00B20889" w:rsidRPr="00B20889">
        <w:rPr>
          <w:rFonts w:ascii="Times New Roman" w:hAnsi="Times New Roman" w:cs="Times New Roman"/>
          <w:sz w:val="28"/>
          <w:szCs w:val="28"/>
        </w:rPr>
        <w:t>24.02.2022 № 374 «Про затвердження Тимчасових заходів у закладах охорони здоров'я з метою забезпечення їх готовності для надання медичної допомоги постраждалим внаслідок військової агресії російської федерації проти України (в редакції від 20.03.2022 № 507)»</w:t>
      </w:r>
      <w:r w:rsidR="00B20889">
        <w:rPr>
          <w:rFonts w:ascii="Times New Roman" w:hAnsi="Times New Roman" w:cs="Times New Roman"/>
          <w:sz w:val="28"/>
          <w:szCs w:val="28"/>
        </w:rPr>
        <w:t>.</w:t>
      </w:r>
    </w:p>
    <w:p w:rsidR="00234FB1" w:rsidRDefault="00290E6E" w:rsidP="00234F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розпорядження начальника Волинської обласної військової адміністрації від 04.08.2023 № 364 «Про затвердження переліку закладів спроможної мережі закладів охорони здоров’</w:t>
      </w:r>
      <w:r w:rsidRPr="00A46075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Волинського госпітального округу» </w:t>
      </w:r>
      <w:r w:rsidR="00FE2D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межах Луцького госпітального кластера (Луцький район) </w:t>
      </w:r>
      <w:r w:rsidR="00FE2DCF">
        <w:rPr>
          <w:rFonts w:ascii="Times New Roman" w:hAnsi="Times New Roman" w:cs="Times New Roman"/>
          <w:sz w:val="28"/>
          <w:szCs w:val="28"/>
        </w:rPr>
        <w:t>затверджено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«Медичне об’</w:t>
      </w:r>
      <w:r w:rsidRPr="00D9591D">
        <w:rPr>
          <w:rFonts w:ascii="Times New Roman" w:hAnsi="Times New Roman" w:cs="Times New Roman"/>
          <w:sz w:val="28"/>
          <w:szCs w:val="28"/>
        </w:rPr>
        <w:t>єднання Луцької міської територ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9591D">
        <w:rPr>
          <w:rFonts w:ascii="Times New Roman" w:hAnsi="Times New Roman" w:cs="Times New Roman"/>
          <w:sz w:val="28"/>
          <w:szCs w:val="28"/>
        </w:rPr>
        <w:t>альної громади</w:t>
      </w:r>
      <w:r w:rsidR="006B4888">
        <w:rPr>
          <w:rFonts w:ascii="Times New Roman" w:hAnsi="Times New Roman" w:cs="Times New Roman"/>
          <w:sz w:val="28"/>
          <w:szCs w:val="28"/>
        </w:rPr>
        <w:t xml:space="preserve">», як </w:t>
      </w:r>
      <w:proofErr w:type="spellStart"/>
      <w:r w:rsidR="006B4888">
        <w:rPr>
          <w:rFonts w:ascii="Times New Roman" w:hAnsi="Times New Roman" w:cs="Times New Roman"/>
          <w:sz w:val="28"/>
          <w:szCs w:val="28"/>
        </w:rPr>
        <w:t>кластерний</w:t>
      </w:r>
      <w:proofErr w:type="spellEnd"/>
      <w:r w:rsidR="006B4888">
        <w:rPr>
          <w:rFonts w:ascii="Times New Roman" w:hAnsi="Times New Roman" w:cs="Times New Roman"/>
          <w:sz w:val="28"/>
          <w:szCs w:val="28"/>
        </w:rPr>
        <w:t>.</w:t>
      </w:r>
      <w:r w:rsidR="006261C9">
        <w:rPr>
          <w:rFonts w:ascii="Times New Roman" w:hAnsi="Times New Roman" w:cs="Times New Roman"/>
          <w:sz w:val="28"/>
          <w:szCs w:val="28"/>
        </w:rPr>
        <w:t xml:space="preserve"> Для кластерних закладів охорони здоров’</w:t>
      </w:r>
      <w:r w:rsidR="006261C9" w:rsidRPr="00D30908">
        <w:rPr>
          <w:rFonts w:ascii="Times New Roman" w:hAnsi="Times New Roman" w:cs="Times New Roman"/>
          <w:sz w:val="28"/>
          <w:szCs w:val="28"/>
        </w:rPr>
        <w:t xml:space="preserve">я мінімальна (базова) кількість </w:t>
      </w:r>
      <w:r w:rsidR="006261C9">
        <w:rPr>
          <w:rFonts w:ascii="Times New Roman" w:hAnsi="Times New Roman" w:cs="Times New Roman"/>
          <w:sz w:val="28"/>
          <w:szCs w:val="28"/>
        </w:rPr>
        <w:t xml:space="preserve">напрямів медичного обслуговування – 20. Включення у спроможну мережу дає можливість закладу отримувати за рахунок централізованих поставок (кошти державного бюджету) сучасне </w:t>
      </w:r>
      <w:proofErr w:type="spellStart"/>
      <w:r w:rsidR="006261C9">
        <w:rPr>
          <w:rFonts w:ascii="Times New Roman" w:hAnsi="Times New Roman" w:cs="Times New Roman"/>
          <w:sz w:val="28"/>
          <w:szCs w:val="28"/>
        </w:rPr>
        <w:t>дороговартісне</w:t>
      </w:r>
      <w:proofErr w:type="spellEnd"/>
      <w:r w:rsidR="006261C9">
        <w:rPr>
          <w:rFonts w:ascii="Times New Roman" w:hAnsi="Times New Roman" w:cs="Times New Roman"/>
          <w:sz w:val="28"/>
          <w:szCs w:val="28"/>
        </w:rPr>
        <w:t xml:space="preserve"> медичне обладнання та входити до маршрутів транспортування пацієнтів бригадами екстреної (швидкої) медичної допомоги з урахуванням пріоритетності транспортування (наприклад, при інсультах, інфарктах міокарду). </w:t>
      </w:r>
      <w:r w:rsidR="00234FB1">
        <w:rPr>
          <w:rFonts w:ascii="Times New Roman" w:hAnsi="Times New Roman" w:cs="Times New Roman"/>
          <w:sz w:val="28"/>
          <w:szCs w:val="28"/>
        </w:rPr>
        <w:t xml:space="preserve">Однак, окремі з напрямів медичної допомоги передбачених у Переліку відсутні. Зокрема: </w:t>
      </w:r>
      <w:r w:rsidR="00234FB1" w:rsidRPr="002B0E25">
        <w:rPr>
          <w:rFonts w:ascii="Times New Roman" w:hAnsi="Times New Roman" w:cs="Times New Roman"/>
          <w:sz w:val="28"/>
          <w:szCs w:val="28"/>
        </w:rPr>
        <w:t>акушерство, інфекційні хвороби, педіатрія, психіатрія</w:t>
      </w:r>
      <w:r w:rsidR="00234FB1" w:rsidRPr="009577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4FB1" w:rsidRDefault="00234FB1" w:rsidP="00234F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70C">
        <w:rPr>
          <w:rFonts w:ascii="Times New Roman" w:hAnsi="Times New Roman" w:cs="Times New Roman"/>
          <w:sz w:val="28"/>
          <w:szCs w:val="28"/>
        </w:rPr>
        <w:t xml:space="preserve">Вирішення питання розвитку цих напрямів планується у найближчий час для досягнення відповідності закладу </w:t>
      </w:r>
      <w:proofErr w:type="spellStart"/>
      <w:r w:rsidRPr="0095770C">
        <w:rPr>
          <w:rFonts w:ascii="Times New Roman" w:hAnsi="Times New Roman" w:cs="Times New Roman"/>
          <w:sz w:val="28"/>
          <w:szCs w:val="28"/>
        </w:rPr>
        <w:t>кластерної</w:t>
      </w:r>
      <w:proofErr w:type="spellEnd"/>
      <w:r w:rsidRPr="0095770C">
        <w:rPr>
          <w:rFonts w:ascii="Times New Roman" w:hAnsi="Times New Roman" w:cs="Times New Roman"/>
          <w:sz w:val="28"/>
          <w:szCs w:val="28"/>
        </w:rPr>
        <w:t xml:space="preserve"> позиції в спроможній мережі Волинського госпітального округу.</w:t>
      </w:r>
    </w:p>
    <w:p w:rsidR="00D665CB" w:rsidRPr="00137518" w:rsidRDefault="00D665CB" w:rsidP="00D665CB">
      <w:pPr>
        <w:spacing w:after="0" w:line="240" w:lineRule="auto"/>
        <w:ind w:firstLine="567"/>
        <w:jc w:val="both"/>
      </w:pPr>
      <w:r w:rsidRPr="00137518">
        <w:rPr>
          <w:rFonts w:ascii="Times New Roman" w:hAnsi="Times New Roman" w:cs="Times New Roman"/>
          <w:sz w:val="28"/>
          <w:szCs w:val="28"/>
        </w:rPr>
        <w:t xml:space="preserve">Упродовж 2024 року управлінням хорони здоров’я Луцької міської ради, як </w:t>
      </w:r>
      <w:r w:rsidRPr="001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уповноваженим виконавчим органом Луцької міської ради, що здійснює управління </w:t>
      </w:r>
      <w:r w:rsidRPr="001375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підприємствами охорони здоров’я </w:t>
      </w:r>
      <w:r w:rsidRPr="0013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комунальної власності Луцької міської територіальної громади, </w:t>
      </w:r>
      <w:r w:rsidRPr="00137518">
        <w:rPr>
          <w:rFonts w:ascii="Times New Roman" w:hAnsi="Times New Roman" w:cs="Times New Roman"/>
          <w:sz w:val="28"/>
          <w:szCs w:val="28"/>
        </w:rPr>
        <w:t xml:space="preserve">підготовлено </w:t>
      </w:r>
      <w:r w:rsidRPr="00137518">
        <w:rPr>
          <w:rFonts w:ascii="Times New Roman" w:hAnsi="Times New Roman"/>
          <w:sz w:val="28"/>
          <w:szCs w:val="28"/>
        </w:rPr>
        <w:t>67 наказів з основної діяльності закладів, 11 рішень виконавчого комітету міської ради, 13 рішень міської ради, 158 накази з кадрових питан</w:t>
      </w:r>
      <w:r>
        <w:rPr>
          <w:rFonts w:ascii="Times New Roman" w:hAnsi="Times New Roman"/>
          <w:sz w:val="28"/>
          <w:szCs w:val="28"/>
        </w:rPr>
        <w:t>ь, підготовлено інформацію на 12 доручень</w:t>
      </w:r>
      <w:r w:rsidRPr="00137518">
        <w:rPr>
          <w:rFonts w:ascii="Times New Roman" w:hAnsi="Times New Roman"/>
          <w:sz w:val="28"/>
          <w:szCs w:val="28"/>
        </w:rPr>
        <w:t xml:space="preserve"> міського голови, секретаря міської ради, заступників міського голови. Надійшло та опрацьовано через систему «АСКОД» до управління 1939 листів, кількість «вихідної» документації 1778.</w:t>
      </w:r>
    </w:p>
    <w:p w:rsidR="00D665CB" w:rsidRPr="00137518" w:rsidRDefault="00D665CB" w:rsidP="00D665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518">
        <w:rPr>
          <w:rFonts w:ascii="Times New Roman" w:hAnsi="Times New Roman" w:cs="Times New Roman"/>
          <w:sz w:val="28"/>
          <w:szCs w:val="28"/>
        </w:rPr>
        <w:t>Сумісно з комунальними підприємствами охорони здоров’я Луцької міської територіальної громади вживались заходи по створенню належних умов прийому громадян, забезпеченню своєчасного розгляду їх пропозицій, заяв, скарг, оперативного вирішення порушених у них питань.</w:t>
      </w:r>
    </w:p>
    <w:p w:rsidR="00D665CB" w:rsidRPr="00137518" w:rsidRDefault="00D665CB" w:rsidP="00D665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7518">
        <w:rPr>
          <w:rFonts w:ascii="Times New Roman" w:hAnsi="Times New Roman" w:cs="Times New Roman"/>
          <w:sz w:val="28"/>
          <w:szCs w:val="28"/>
        </w:rPr>
        <w:t>За звітний період до управління надійшло 194 звернення громадян (відповідний період минулого року 224 звернення). Розглянуто 4 запити на інформацію та 3 адвокатських запита. Усі звернення опрацьовані, відповіді надано у терміни, визначені Законами України «Про звернення громадян», «Про доступ до публічної інформації». Відмов у розгляді звернень громадян з формальних та інших підстав у звітному періоді не було.</w:t>
      </w:r>
      <w:r w:rsidRPr="0013751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665CB" w:rsidRPr="00137518" w:rsidRDefault="00D665CB" w:rsidP="00D66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518">
        <w:rPr>
          <w:rFonts w:ascii="Times New Roman" w:hAnsi="Times New Roman" w:cs="Times New Roman"/>
          <w:sz w:val="28"/>
          <w:szCs w:val="28"/>
        </w:rPr>
        <w:lastRenderedPageBreak/>
        <w:t>У 2024 році управлінням охорони здоров’я, якому делеговані окремі повноваження органу опіки та піклування, прийнято участь у 273 судових засіданнях щодо опіки та піклування над недієздатними/обмежено дієздатними особами, надійшло 125 ухвал суду про відкриття провадження у справі про визнання фізичної особи недієздатною/обмежено дієздатною, встановлення опіки та приз</w:t>
      </w:r>
      <w:r>
        <w:rPr>
          <w:rFonts w:ascii="Times New Roman" w:hAnsi="Times New Roman" w:cs="Times New Roman"/>
          <w:sz w:val="28"/>
          <w:szCs w:val="28"/>
        </w:rPr>
        <w:t>начення опікуна, підготовлено 60</w:t>
      </w:r>
      <w:r w:rsidRPr="00137518">
        <w:rPr>
          <w:rFonts w:ascii="Times New Roman" w:hAnsi="Times New Roman" w:cs="Times New Roman"/>
          <w:sz w:val="28"/>
          <w:szCs w:val="28"/>
        </w:rPr>
        <w:t xml:space="preserve"> заяви (подання) до суду про призначення опікунів/піклувальників над недієздатною/обмежено дієздатною особою, 47 клопотань про продовження строку дії рішення суду про визнання особи недієздатною/обмежено дієздатною, підг</w:t>
      </w:r>
      <w:r>
        <w:rPr>
          <w:rFonts w:ascii="Times New Roman" w:hAnsi="Times New Roman" w:cs="Times New Roman"/>
          <w:sz w:val="28"/>
          <w:szCs w:val="28"/>
        </w:rPr>
        <w:t>отовлено 4</w:t>
      </w:r>
      <w:r w:rsidRPr="00137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518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137518">
        <w:rPr>
          <w:rFonts w:ascii="Times New Roman" w:hAnsi="Times New Roman" w:cs="Times New Roman"/>
          <w:sz w:val="28"/>
          <w:szCs w:val="28"/>
        </w:rPr>
        <w:t xml:space="preserve"> рішень виконавчого комітету міської ради про надання дозволу опікуну на вчинення правочинів. Надано 315 консультацій щодо опіки та піклування. Здійснювалось представлення прав та інтересів до розгляду в суді 2-х справ про застосування примусових заходів; організовано влаштування 1 – ї недієздатної особи в психоневрологічний інтернат.</w:t>
      </w:r>
    </w:p>
    <w:p w:rsidR="00D665CB" w:rsidRDefault="00D665CB" w:rsidP="007022CA">
      <w:pPr>
        <w:tabs>
          <w:tab w:val="left" w:pos="2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Комунікація з мешканцями Луцької міської територіальної громади щодо спектру надання медичних послуг в КПОЗ Луцької МТГ проводиться через висвітлення інформації на офіційних сайтах управління та підприємств, в соціальних сторінках, зокрема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друкованих ЗМІ,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інтернет-виданнях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0782" w:rsidRPr="00177EF7" w:rsidRDefault="005D2E6E" w:rsidP="001A6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</w:t>
      </w:r>
      <w:r w:rsidR="006C67D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охорони здоров’</w:t>
      </w:r>
      <w:r w:rsidRPr="005D2E6E">
        <w:rPr>
          <w:rFonts w:ascii="Times New Roman" w:hAnsi="Times New Roman" w:cs="Times New Roman"/>
          <w:sz w:val="28"/>
          <w:szCs w:val="28"/>
        </w:rPr>
        <w:t>я Лу</w:t>
      </w:r>
      <w:r w:rsidR="006C67DF">
        <w:rPr>
          <w:rFonts w:ascii="Times New Roman" w:hAnsi="Times New Roman" w:cs="Times New Roman"/>
          <w:sz w:val="28"/>
          <w:szCs w:val="28"/>
        </w:rPr>
        <w:t xml:space="preserve">цької міської ради та керівниками </w:t>
      </w:r>
      <w:r w:rsidRPr="005D2E6E">
        <w:rPr>
          <w:rFonts w:ascii="Times New Roman" w:hAnsi="Times New Roman" w:cs="Times New Roman"/>
          <w:sz w:val="28"/>
          <w:szCs w:val="28"/>
        </w:rPr>
        <w:t xml:space="preserve">комунальних підприємств галузі охорони здоров’я </w:t>
      </w:r>
      <w:r w:rsidR="006C67DF">
        <w:rPr>
          <w:rFonts w:ascii="Times New Roman" w:hAnsi="Times New Roman" w:cs="Times New Roman"/>
          <w:sz w:val="28"/>
          <w:szCs w:val="28"/>
        </w:rPr>
        <w:t>результативно</w:t>
      </w:r>
      <w:r>
        <w:rPr>
          <w:rFonts w:ascii="Times New Roman" w:hAnsi="Times New Roman" w:cs="Times New Roman"/>
          <w:sz w:val="28"/>
          <w:szCs w:val="28"/>
        </w:rPr>
        <w:t xml:space="preserve">, в межах компетенції, </w:t>
      </w:r>
      <w:r w:rsidR="007022CA">
        <w:rPr>
          <w:rFonts w:ascii="Times New Roman" w:hAnsi="Times New Roman" w:cs="Times New Roman"/>
          <w:sz w:val="28"/>
          <w:szCs w:val="28"/>
        </w:rPr>
        <w:t>забезпечується співпраця</w:t>
      </w:r>
      <w:r w:rsidRPr="005D2E6E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 xml:space="preserve">виконавчими органами Луцької міської ради </w:t>
      </w:r>
      <w:r w:rsidR="004213A1">
        <w:rPr>
          <w:rFonts w:ascii="Times New Roman" w:hAnsi="Times New Roman" w:cs="Times New Roman"/>
          <w:sz w:val="28"/>
          <w:szCs w:val="28"/>
        </w:rPr>
        <w:t>для надання мешканцям</w:t>
      </w:r>
      <w:r>
        <w:rPr>
          <w:rFonts w:ascii="Times New Roman" w:hAnsi="Times New Roman" w:cs="Times New Roman"/>
          <w:sz w:val="28"/>
          <w:szCs w:val="28"/>
        </w:rPr>
        <w:t xml:space="preserve"> гром</w:t>
      </w:r>
      <w:r w:rsidR="006C67DF">
        <w:rPr>
          <w:rFonts w:ascii="Times New Roman" w:hAnsi="Times New Roman" w:cs="Times New Roman"/>
          <w:sz w:val="28"/>
          <w:szCs w:val="28"/>
        </w:rPr>
        <w:t>ади доступної і якісної медичної допомоги</w:t>
      </w:r>
      <w:r>
        <w:rPr>
          <w:rFonts w:ascii="Times New Roman" w:hAnsi="Times New Roman" w:cs="Times New Roman"/>
          <w:sz w:val="28"/>
          <w:szCs w:val="28"/>
        </w:rPr>
        <w:t>, як однією із складових підтримки «Здоров’</w:t>
      </w:r>
      <w:r w:rsidRPr="005D2E6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громади» та з врахуванням </w:t>
      </w:r>
      <w:r w:rsidR="007022CA">
        <w:rPr>
          <w:rFonts w:ascii="Times New Roman" w:hAnsi="Times New Roman" w:cs="Times New Roman"/>
          <w:sz w:val="28"/>
          <w:szCs w:val="28"/>
        </w:rPr>
        <w:t xml:space="preserve">виконання заходів </w:t>
      </w:r>
      <w:r w:rsidR="007022CA" w:rsidRPr="00177EF7">
        <w:rPr>
          <w:rFonts w:ascii="Times New Roman" w:hAnsi="Times New Roman" w:cs="Times New Roman"/>
          <w:sz w:val="28"/>
          <w:szCs w:val="28"/>
        </w:rPr>
        <w:t>Стратегії розвитку Луцької міської територіальної громади до 2030 року, затвердженої рішенням міської ради</w:t>
      </w:r>
      <w:r w:rsidR="001A6C18" w:rsidRPr="00177EF7">
        <w:rPr>
          <w:rFonts w:ascii="Times New Roman" w:hAnsi="Times New Roman" w:cs="Times New Roman"/>
          <w:sz w:val="28"/>
          <w:szCs w:val="28"/>
        </w:rPr>
        <w:t xml:space="preserve"> від 31.07.2024 № 61/128, та відповідно до Закону України «Про систему громадського здоров’я».</w:t>
      </w:r>
    </w:p>
    <w:p w:rsidR="00820A3D" w:rsidRPr="00A43FA0" w:rsidRDefault="00820A3D" w:rsidP="00D66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BCA" w:rsidRDefault="005A1BCA" w:rsidP="005A1B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401">
        <w:rPr>
          <w:rFonts w:ascii="Times New Roman" w:hAnsi="Times New Roman" w:cs="Times New Roman"/>
          <w:b/>
          <w:sz w:val="28"/>
          <w:szCs w:val="28"/>
        </w:rPr>
        <w:t>П</w:t>
      </w:r>
      <w:r w:rsidR="00820A3D">
        <w:rPr>
          <w:rFonts w:ascii="Times New Roman" w:hAnsi="Times New Roman" w:cs="Times New Roman"/>
          <w:b/>
          <w:sz w:val="28"/>
          <w:szCs w:val="28"/>
        </w:rPr>
        <w:t>ріоритетні завдання на 2025</w:t>
      </w:r>
      <w:r w:rsidRPr="00796401">
        <w:rPr>
          <w:rFonts w:ascii="Times New Roman" w:hAnsi="Times New Roman" w:cs="Times New Roman"/>
          <w:b/>
          <w:sz w:val="28"/>
          <w:szCs w:val="28"/>
        </w:rPr>
        <w:t xml:space="preserve"> рік:</w:t>
      </w:r>
    </w:p>
    <w:p w:rsidR="00BF7C95" w:rsidRPr="000C1F21" w:rsidRDefault="00BF7C95" w:rsidP="00BF7C95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C1F21">
        <w:rPr>
          <w:sz w:val="28"/>
          <w:szCs w:val="28"/>
          <w:lang w:val="uk-UA"/>
        </w:rPr>
        <w:t xml:space="preserve">Збереження та забезпечення стабільного функціонування комунальної галузі охорони здоров’я для створення умов надання якісної і доступної медичної допомоги населенню в умовах воєнного стану у зв’язку з агресією російської федерації з </w:t>
      </w:r>
      <w:r w:rsidRPr="000C1F21">
        <w:rPr>
          <w:sz w:val="28"/>
          <w:szCs w:val="28"/>
          <w:shd w:val="clear" w:color="auto" w:fill="FFFFFF"/>
          <w:lang w:val="uk-UA"/>
        </w:rPr>
        <w:t>урахуванням виконання вимог наказу Міністерства охорони здоров’я України від 24.02.2022 №</w:t>
      </w:r>
      <w:r w:rsidRPr="000C1F21">
        <w:rPr>
          <w:sz w:val="28"/>
          <w:szCs w:val="28"/>
          <w:shd w:val="clear" w:color="auto" w:fill="FFFFFF"/>
        </w:rPr>
        <w:t> </w:t>
      </w:r>
      <w:r w:rsidRPr="000C1F21">
        <w:rPr>
          <w:sz w:val="28"/>
          <w:szCs w:val="28"/>
          <w:shd w:val="clear" w:color="auto" w:fill="FFFFFF"/>
          <w:lang w:val="uk-UA"/>
        </w:rPr>
        <w:t>374 «</w:t>
      </w:r>
      <w:r w:rsidRPr="000C1F21">
        <w:rPr>
          <w:bCs/>
          <w:sz w:val="28"/>
          <w:szCs w:val="28"/>
          <w:shd w:val="clear" w:color="auto" w:fill="FFFFFF"/>
          <w:lang w:val="uk-UA"/>
        </w:rPr>
        <w:t>Про затвердження Тимчасових заходів у закладах охорони здоров'я з метою забезпечення їх готовності для надання медичної допомоги постраждалим внаслідок військової агресії російської федерації проти України</w:t>
      </w:r>
      <w:r w:rsidRPr="000C1F21">
        <w:rPr>
          <w:sz w:val="28"/>
          <w:szCs w:val="28"/>
          <w:lang w:val="uk-UA" w:eastAsia="uk-UA"/>
        </w:rPr>
        <w:t xml:space="preserve"> </w:t>
      </w:r>
      <w:r w:rsidRPr="000C1F21">
        <w:rPr>
          <w:sz w:val="28"/>
          <w:szCs w:val="28"/>
          <w:shd w:val="clear" w:color="auto" w:fill="FFFFFF"/>
          <w:lang w:val="uk-UA"/>
        </w:rPr>
        <w:t>(в редакції від 20.03.2022 №</w:t>
      </w:r>
      <w:r w:rsidRPr="000C1F21">
        <w:rPr>
          <w:sz w:val="28"/>
          <w:szCs w:val="28"/>
        </w:rPr>
        <w:t> </w:t>
      </w:r>
      <w:r w:rsidRPr="000C1F21">
        <w:rPr>
          <w:sz w:val="28"/>
          <w:szCs w:val="28"/>
          <w:lang w:val="uk-UA"/>
        </w:rPr>
        <w:t>507)</w:t>
      </w:r>
      <w:r w:rsidRPr="000C1F21">
        <w:rPr>
          <w:sz w:val="28"/>
          <w:szCs w:val="28"/>
          <w:shd w:val="clear" w:color="auto" w:fill="FFFFFF"/>
          <w:lang w:val="uk-UA"/>
        </w:rPr>
        <w:t>»</w:t>
      </w:r>
      <w:r w:rsidR="004D3DEB">
        <w:rPr>
          <w:sz w:val="28"/>
          <w:szCs w:val="28"/>
          <w:shd w:val="clear" w:color="auto" w:fill="FFFFFF"/>
          <w:lang w:val="uk-UA"/>
        </w:rPr>
        <w:t xml:space="preserve"> та </w:t>
      </w:r>
      <w:r w:rsidR="00866433">
        <w:rPr>
          <w:sz w:val="28"/>
          <w:szCs w:val="28"/>
          <w:lang w:val="uk-UA"/>
        </w:rPr>
        <w:t>розпорядження</w:t>
      </w:r>
      <w:r w:rsidR="00866433" w:rsidRPr="00BE707C">
        <w:rPr>
          <w:sz w:val="28"/>
          <w:szCs w:val="28"/>
          <w:lang w:val="uk-UA"/>
        </w:rPr>
        <w:t xml:space="preserve"> начальника Волинської обласної військової адміністрації </w:t>
      </w:r>
      <w:r w:rsidR="00866433">
        <w:rPr>
          <w:sz w:val="28"/>
          <w:szCs w:val="28"/>
          <w:lang w:val="uk-UA"/>
        </w:rPr>
        <w:t>від 23.02.2024 № 85 «</w:t>
      </w:r>
      <w:r w:rsidR="00866433" w:rsidRPr="00BE707C">
        <w:rPr>
          <w:sz w:val="28"/>
          <w:szCs w:val="28"/>
          <w:lang w:val="uk-UA"/>
        </w:rPr>
        <w:t>План розвитку Волинського госпітального округу на 2024-2025 роки</w:t>
      </w:r>
      <w:r w:rsidR="00866433">
        <w:rPr>
          <w:sz w:val="28"/>
          <w:szCs w:val="28"/>
          <w:shd w:val="clear" w:color="auto" w:fill="FFFFFF"/>
          <w:lang w:val="uk-UA"/>
        </w:rPr>
        <w:t>».</w:t>
      </w:r>
    </w:p>
    <w:p w:rsidR="00BF7C95" w:rsidRPr="005D2433" w:rsidRDefault="00BF7C95" w:rsidP="00BF7C95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П</w:t>
      </w:r>
      <w:r w:rsidRPr="000C1F21">
        <w:rPr>
          <w:sz w:val="28"/>
          <w:szCs w:val="28"/>
          <w:lang w:val="uk-UA"/>
        </w:rPr>
        <w:t xml:space="preserve">родовження інформаційної кампанії з метою підвищення обізнаності щодо засобів профілактики </w:t>
      </w:r>
      <w:r>
        <w:rPr>
          <w:sz w:val="28"/>
          <w:szCs w:val="28"/>
          <w:lang w:val="uk-UA"/>
        </w:rPr>
        <w:t xml:space="preserve">гострих </w:t>
      </w:r>
      <w:r w:rsidRPr="000C1F21">
        <w:rPr>
          <w:sz w:val="28"/>
          <w:szCs w:val="28"/>
          <w:lang w:val="uk-UA"/>
        </w:rPr>
        <w:t xml:space="preserve">вірусних інфекцій, в тому числі </w:t>
      </w:r>
      <w:r w:rsidRPr="000C1F21">
        <w:rPr>
          <w:color w:val="000000"/>
          <w:sz w:val="28"/>
          <w:szCs w:val="28"/>
        </w:rPr>
        <w:t>COVID</w:t>
      </w:r>
      <w:r w:rsidRPr="000C1F21">
        <w:rPr>
          <w:color w:val="000000"/>
          <w:sz w:val="28"/>
          <w:szCs w:val="28"/>
          <w:lang w:val="uk-UA"/>
        </w:rPr>
        <w:t>-19</w:t>
      </w:r>
      <w:r>
        <w:rPr>
          <w:color w:val="000000"/>
          <w:sz w:val="28"/>
          <w:szCs w:val="28"/>
          <w:lang w:val="uk-UA"/>
        </w:rPr>
        <w:t>.</w:t>
      </w:r>
    </w:p>
    <w:p w:rsidR="00BF7C95" w:rsidRPr="005D2433" w:rsidRDefault="00BF7C95" w:rsidP="00BF7C95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2433">
        <w:rPr>
          <w:sz w:val="28"/>
          <w:szCs w:val="28"/>
          <w:lang w:val="uk-UA"/>
        </w:rPr>
        <w:t>Зниження рівня малюкової та недопущення материнської смертності.</w:t>
      </w:r>
    </w:p>
    <w:p w:rsidR="00BF7C95" w:rsidRPr="00D86911" w:rsidRDefault="00BF7C95" w:rsidP="00BF7C95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2433">
        <w:rPr>
          <w:sz w:val="28"/>
          <w:szCs w:val="28"/>
          <w:lang w:val="uk-UA"/>
        </w:rPr>
        <w:t>Зниження рівня смертності від захворювань органів кровообігу;</w:t>
      </w:r>
    </w:p>
    <w:p w:rsidR="00BF7C95" w:rsidRPr="005D2433" w:rsidRDefault="00BF7C95" w:rsidP="00BF7C95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З</w:t>
      </w:r>
      <w:r w:rsidRPr="005D2433">
        <w:rPr>
          <w:sz w:val="28"/>
          <w:szCs w:val="28"/>
          <w:lang w:val="uk-UA"/>
        </w:rPr>
        <w:t>меншення первинного виходу хворих на інвалідність.</w:t>
      </w:r>
    </w:p>
    <w:p w:rsidR="00BF7C95" w:rsidRPr="005D2433" w:rsidRDefault="00BF7C95" w:rsidP="00BF7C95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Профілактика і лікування туберкульозу</w:t>
      </w:r>
      <w:r w:rsidRPr="005D2433">
        <w:rPr>
          <w:sz w:val="28"/>
          <w:szCs w:val="28"/>
          <w:lang w:val="uk-UA"/>
        </w:rPr>
        <w:t>.</w:t>
      </w:r>
    </w:p>
    <w:p w:rsidR="00BF7C95" w:rsidRPr="000B601C" w:rsidRDefault="00BF7C95" w:rsidP="00BF7C95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2433">
        <w:rPr>
          <w:sz w:val="28"/>
          <w:szCs w:val="28"/>
          <w:lang w:val="uk-UA"/>
        </w:rPr>
        <w:t>Розвиток</w:t>
      </w:r>
      <w:r w:rsidRPr="005D2433">
        <w:rPr>
          <w:b/>
          <w:sz w:val="28"/>
          <w:szCs w:val="28"/>
          <w:lang w:val="uk-UA"/>
        </w:rPr>
        <w:t xml:space="preserve"> </w:t>
      </w:r>
      <w:r w:rsidRPr="005D2433">
        <w:rPr>
          <w:sz w:val="28"/>
          <w:szCs w:val="28"/>
          <w:shd w:val="clear" w:color="auto" w:fill="FFFFFF"/>
          <w:lang w:val="uk-UA"/>
        </w:rPr>
        <w:t>біопсихосоціальної моделі надання медичної допомоги</w:t>
      </w:r>
      <w:r w:rsidRPr="005D2433">
        <w:rPr>
          <w:sz w:val="28"/>
          <w:szCs w:val="28"/>
          <w:lang w:val="uk-UA"/>
        </w:rPr>
        <w:t xml:space="preserve"> пацієнтам з непрацездатністю, обмеженням життєдіяльності чи інвалідністю.</w:t>
      </w:r>
    </w:p>
    <w:p w:rsidR="00BF7C95" w:rsidRPr="00D72225" w:rsidRDefault="001A1F19" w:rsidP="00BF7C95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Удосконалення</w:t>
      </w:r>
      <w:r w:rsidR="00BF7C95">
        <w:rPr>
          <w:sz w:val="28"/>
          <w:szCs w:val="28"/>
          <w:lang w:val="uk-UA"/>
        </w:rPr>
        <w:t xml:space="preserve"> оцінювання повсякденного функціонування особи.</w:t>
      </w:r>
    </w:p>
    <w:p w:rsidR="00D72225" w:rsidRPr="005D2433" w:rsidRDefault="00D72225" w:rsidP="00BF7C95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Продовження співпраці з виконавчими органами Луцької міської ради.</w:t>
      </w:r>
    </w:p>
    <w:p w:rsidR="00BF7C95" w:rsidRPr="00BF7C95" w:rsidRDefault="00BF7C95" w:rsidP="00DB6697">
      <w:pPr>
        <w:pStyle w:val="a3"/>
        <w:tabs>
          <w:tab w:val="left" w:pos="709"/>
        </w:tabs>
        <w:ind w:left="1452"/>
        <w:jc w:val="both"/>
        <w:rPr>
          <w:sz w:val="28"/>
          <w:szCs w:val="28"/>
        </w:rPr>
      </w:pPr>
    </w:p>
    <w:p w:rsidR="00BF7C95" w:rsidRPr="005D2433" w:rsidRDefault="00BF7C95" w:rsidP="00BF7C9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433">
        <w:rPr>
          <w:rFonts w:ascii="Times New Roman" w:hAnsi="Times New Roman" w:cs="Times New Roman"/>
          <w:b/>
          <w:sz w:val="28"/>
          <w:szCs w:val="28"/>
        </w:rPr>
        <w:t>Заходи для викона</w:t>
      </w:r>
      <w:r>
        <w:rPr>
          <w:rFonts w:ascii="Times New Roman" w:hAnsi="Times New Roman" w:cs="Times New Roman"/>
          <w:b/>
          <w:sz w:val="28"/>
          <w:szCs w:val="28"/>
        </w:rPr>
        <w:t>ння пріоритетних завдань на 2025</w:t>
      </w:r>
      <w:r w:rsidRPr="005D2433">
        <w:rPr>
          <w:rFonts w:ascii="Times New Roman" w:hAnsi="Times New Roman" w:cs="Times New Roman"/>
          <w:b/>
          <w:sz w:val="28"/>
          <w:szCs w:val="28"/>
        </w:rPr>
        <w:t xml:space="preserve"> рік:</w:t>
      </w:r>
    </w:p>
    <w:p w:rsidR="00BF7C95" w:rsidRPr="00BA19ED" w:rsidRDefault="00BF7C95" w:rsidP="00BF7C95">
      <w:pPr>
        <w:pStyle w:val="a3"/>
        <w:numPr>
          <w:ilvl w:val="0"/>
          <w:numId w:val="23"/>
        </w:numPr>
        <w:tabs>
          <w:tab w:val="left" w:pos="0"/>
        </w:tabs>
        <w:spacing w:after="28"/>
        <w:ind w:left="0" w:firstLine="567"/>
        <w:jc w:val="both"/>
        <w:rPr>
          <w:sz w:val="28"/>
          <w:szCs w:val="28"/>
          <w:lang w:val="uk-UA"/>
        </w:rPr>
      </w:pPr>
      <w:r w:rsidRPr="005D2433">
        <w:rPr>
          <w:sz w:val="28"/>
          <w:szCs w:val="28"/>
          <w:lang w:val="uk-UA"/>
        </w:rPr>
        <w:t>Контрактування комунальних підприємств охорони здоров’я Луцької міської територіальної громади з Національної службою здоров’я договорів на пакети надання медичних послуг за програмою дер</w:t>
      </w:r>
      <w:r>
        <w:rPr>
          <w:sz w:val="28"/>
          <w:szCs w:val="28"/>
          <w:lang w:val="uk-UA"/>
        </w:rPr>
        <w:t>жавних медичних гарантій на 2025</w:t>
      </w:r>
      <w:r w:rsidRPr="005D2433">
        <w:rPr>
          <w:sz w:val="28"/>
          <w:szCs w:val="28"/>
          <w:lang w:val="uk-UA"/>
        </w:rPr>
        <w:t xml:space="preserve"> рік, включаючи пакет «Готовність закладу охорони здоров’я до надання медичної допомоги в надзвичайних ситуаціях»</w:t>
      </w:r>
      <w:r w:rsidRPr="005D2433">
        <w:rPr>
          <w:color w:val="000000"/>
          <w:sz w:val="28"/>
          <w:szCs w:val="28"/>
          <w:lang w:val="uk-UA"/>
        </w:rPr>
        <w:t>.</w:t>
      </w:r>
    </w:p>
    <w:p w:rsidR="00F87B8E" w:rsidRPr="004D3DEB" w:rsidRDefault="00F87B8E" w:rsidP="004D3DEB">
      <w:pPr>
        <w:pStyle w:val="a3"/>
        <w:numPr>
          <w:ilvl w:val="0"/>
          <w:numId w:val="2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Реорганізація </w:t>
      </w:r>
      <w:r w:rsidRPr="004D3DEB">
        <w:rPr>
          <w:sz w:val="28"/>
          <w:szCs w:val="28"/>
          <w:lang w:val="uk-UA"/>
        </w:rPr>
        <w:t xml:space="preserve">шляхом приєднання </w:t>
      </w:r>
      <w:proofErr w:type="spellStart"/>
      <w:r w:rsidRPr="004D3DEB">
        <w:rPr>
          <w:sz w:val="28"/>
          <w:szCs w:val="28"/>
          <w:lang w:val="uk-UA"/>
        </w:rPr>
        <w:t>КП</w:t>
      </w:r>
      <w:proofErr w:type="spellEnd"/>
      <w:r w:rsidRPr="004D3DEB">
        <w:rPr>
          <w:sz w:val="28"/>
          <w:szCs w:val="28"/>
          <w:lang w:val="uk-UA"/>
        </w:rPr>
        <w:t xml:space="preserve"> «Луцький клінічний пологовий будинок» до </w:t>
      </w:r>
      <w:proofErr w:type="spellStart"/>
      <w:r w:rsidRPr="004D3DEB">
        <w:rPr>
          <w:sz w:val="28"/>
          <w:szCs w:val="28"/>
          <w:lang w:val="uk-UA"/>
        </w:rPr>
        <w:t>КП</w:t>
      </w:r>
      <w:proofErr w:type="spellEnd"/>
      <w:r w:rsidRPr="004D3DEB">
        <w:rPr>
          <w:sz w:val="28"/>
          <w:szCs w:val="28"/>
          <w:lang w:val="uk-UA"/>
        </w:rPr>
        <w:t xml:space="preserve"> «Медичне об’єднання Луцької міської територіальної громади» для збереження статусу «кластерності» </w:t>
      </w:r>
      <w:proofErr w:type="spellStart"/>
      <w:r w:rsidRPr="004D3DEB">
        <w:rPr>
          <w:sz w:val="28"/>
          <w:szCs w:val="28"/>
          <w:lang w:val="uk-UA"/>
        </w:rPr>
        <w:t>КП</w:t>
      </w:r>
      <w:proofErr w:type="spellEnd"/>
      <w:r w:rsidRPr="004D3DEB">
        <w:rPr>
          <w:sz w:val="28"/>
          <w:szCs w:val="28"/>
          <w:lang w:val="uk-UA"/>
        </w:rPr>
        <w:t xml:space="preserve"> «Медичне об’єднання Луцької міської територіальної громади», та збереження високопрофесійного кадрового медичного потенціалу </w:t>
      </w:r>
      <w:proofErr w:type="spellStart"/>
      <w:r w:rsidRPr="004D3DEB">
        <w:rPr>
          <w:sz w:val="28"/>
          <w:szCs w:val="28"/>
          <w:lang w:val="uk-UA"/>
        </w:rPr>
        <w:t>КП</w:t>
      </w:r>
      <w:proofErr w:type="spellEnd"/>
      <w:r w:rsidRPr="004D3DEB">
        <w:rPr>
          <w:sz w:val="28"/>
          <w:szCs w:val="28"/>
          <w:lang w:val="uk-UA"/>
        </w:rPr>
        <w:t xml:space="preserve"> «Луцьк</w:t>
      </w:r>
      <w:r w:rsidR="004D3DEB">
        <w:rPr>
          <w:sz w:val="28"/>
          <w:szCs w:val="28"/>
          <w:lang w:val="uk-UA"/>
        </w:rPr>
        <w:t>ий клінічний пологовий будинок»</w:t>
      </w:r>
      <w:r w:rsidRPr="004D3DEB">
        <w:rPr>
          <w:sz w:val="28"/>
          <w:szCs w:val="28"/>
          <w:lang w:val="uk-UA"/>
        </w:rPr>
        <w:t xml:space="preserve">. </w:t>
      </w:r>
    </w:p>
    <w:p w:rsidR="00BF7C95" w:rsidRPr="00A54606" w:rsidRDefault="00BF7C95" w:rsidP="00BF7C95">
      <w:pPr>
        <w:pStyle w:val="a3"/>
        <w:numPr>
          <w:ilvl w:val="0"/>
          <w:numId w:val="23"/>
        </w:numPr>
        <w:tabs>
          <w:tab w:val="left" w:pos="0"/>
        </w:tabs>
        <w:spacing w:after="28"/>
        <w:ind w:left="0" w:firstLine="567"/>
        <w:jc w:val="both"/>
        <w:rPr>
          <w:sz w:val="28"/>
          <w:szCs w:val="28"/>
          <w:lang w:val="uk-UA"/>
        </w:rPr>
      </w:pPr>
      <w:r w:rsidRPr="005D2433">
        <w:rPr>
          <w:color w:val="000000"/>
          <w:sz w:val="28"/>
          <w:szCs w:val="28"/>
          <w:lang w:val="uk-UA"/>
        </w:rPr>
        <w:t>Виконання соціальних гарантій для пільгових категорій мешканців Луцької МТГ в частині безоплатного та пільгового відпуску лікарських засобів, препаратів за життєво необхідними показами та певними категоріями захворювання в рамках виконання заходів Програми «Здоров’я мешканців Луцької міської територіальної громади на 2021-2025 роки».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BF7C95" w:rsidRPr="005D2433" w:rsidRDefault="00BF7C95" w:rsidP="00BF7C95">
      <w:pPr>
        <w:pStyle w:val="a3"/>
        <w:numPr>
          <w:ilvl w:val="0"/>
          <w:numId w:val="23"/>
        </w:numPr>
        <w:tabs>
          <w:tab w:val="left" w:pos="0"/>
        </w:tabs>
        <w:spacing w:after="28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5D2433">
        <w:rPr>
          <w:sz w:val="28"/>
          <w:szCs w:val="28"/>
          <w:lang w:val="uk-UA"/>
        </w:rPr>
        <w:t>імейним лікарям комунальних підприємств охорони здоров’я Луцької міської територіальної громади</w:t>
      </w:r>
      <w:r>
        <w:rPr>
          <w:sz w:val="28"/>
          <w:szCs w:val="28"/>
          <w:lang w:val="uk-UA"/>
        </w:rPr>
        <w:t xml:space="preserve"> посилити роз’</w:t>
      </w:r>
      <w:r w:rsidRPr="00A54606">
        <w:rPr>
          <w:sz w:val="28"/>
          <w:szCs w:val="28"/>
          <w:lang w:val="uk-UA"/>
        </w:rPr>
        <w:t>яснювальну роботу серед пацієнтів щодо дії державної п</w:t>
      </w:r>
      <w:r>
        <w:rPr>
          <w:sz w:val="28"/>
          <w:szCs w:val="28"/>
          <w:lang w:val="uk-UA"/>
        </w:rPr>
        <w:t>рограми «Доступні ліки».</w:t>
      </w:r>
    </w:p>
    <w:p w:rsidR="00BF7C95" w:rsidRPr="005D2433" w:rsidRDefault="00BF7C95" w:rsidP="00BF7C95">
      <w:pPr>
        <w:pStyle w:val="a3"/>
        <w:numPr>
          <w:ilvl w:val="0"/>
          <w:numId w:val="23"/>
        </w:numPr>
        <w:ind w:left="0" w:firstLine="567"/>
        <w:jc w:val="both"/>
        <w:rPr>
          <w:sz w:val="28"/>
          <w:szCs w:val="28"/>
          <w:lang w:val="uk-UA"/>
        </w:rPr>
      </w:pPr>
      <w:r w:rsidRPr="005D2433">
        <w:rPr>
          <w:sz w:val="28"/>
          <w:szCs w:val="28"/>
          <w:lang w:val="uk-UA"/>
        </w:rPr>
        <w:t>Оновлення та осучаснення матеріально-технічної бази комунальних підприємств охорони здоров’я Луцької міської територіальної громади в рамках виконання заходів Програми «Фінансова підтримка комунальних підприємств охорони здоров’я</w:t>
      </w:r>
      <w:r w:rsidR="00C721EE">
        <w:rPr>
          <w:sz w:val="28"/>
          <w:szCs w:val="28"/>
          <w:lang w:val="uk-UA"/>
        </w:rPr>
        <w:t xml:space="preserve"> Луцької МТГ на 2021-2025 роки», в тому числі дотримання </w:t>
      </w:r>
      <w:proofErr w:type="spellStart"/>
      <w:r w:rsidR="00C721EE">
        <w:rPr>
          <w:sz w:val="28"/>
          <w:szCs w:val="28"/>
          <w:lang w:val="uk-UA"/>
        </w:rPr>
        <w:t>безбар’</w:t>
      </w:r>
      <w:r w:rsidR="00C721EE" w:rsidRPr="00C721EE">
        <w:rPr>
          <w:sz w:val="28"/>
          <w:szCs w:val="28"/>
          <w:lang w:val="uk-UA"/>
        </w:rPr>
        <w:t>єрного</w:t>
      </w:r>
      <w:proofErr w:type="spellEnd"/>
      <w:r w:rsidR="00C721EE" w:rsidRPr="00C721EE">
        <w:rPr>
          <w:sz w:val="28"/>
          <w:szCs w:val="28"/>
          <w:lang w:val="uk-UA"/>
        </w:rPr>
        <w:t xml:space="preserve"> доступу до будівлі.</w:t>
      </w:r>
    </w:p>
    <w:p w:rsidR="00BF7C95" w:rsidRPr="005D2433" w:rsidRDefault="00BF7C95" w:rsidP="00BF7C95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5D2433">
        <w:rPr>
          <w:sz w:val="28"/>
          <w:szCs w:val="28"/>
          <w:lang w:val="uk-UA"/>
        </w:rPr>
        <w:t>Забезпечення чіткої послідовності («маршрут пацієнта») в наданні якісної і доступної медичної допомоги жителям Луцької міської територіальної громади та підвищення юридичної відповідальності за організацію і наданням медичної допомоги.</w:t>
      </w:r>
    </w:p>
    <w:p w:rsidR="00BF7C95" w:rsidRPr="005D2433" w:rsidRDefault="00BF7C95" w:rsidP="00BF7C95">
      <w:pPr>
        <w:pStyle w:val="a3"/>
        <w:numPr>
          <w:ilvl w:val="0"/>
          <w:numId w:val="23"/>
        </w:numPr>
        <w:ind w:left="0" w:firstLine="567"/>
        <w:jc w:val="both"/>
        <w:rPr>
          <w:sz w:val="28"/>
          <w:szCs w:val="28"/>
          <w:lang w:val="uk-UA"/>
        </w:rPr>
      </w:pPr>
      <w:r w:rsidRPr="005D2433">
        <w:rPr>
          <w:sz w:val="28"/>
          <w:szCs w:val="28"/>
          <w:lang w:val="uk-UA"/>
        </w:rPr>
        <w:t>Лікарям-педіатрам та сімейним лікарям комунальних підприємств охорони здоров’я Луцької міської територіальної громади посилити са</w:t>
      </w:r>
      <w:r>
        <w:rPr>
          <w:sz w:val="28"/>
          <w:szCs w:val="28"/>
          <w:lang w:val="uk-UA"/>
        </w:rPr>
        <w:t>нітарно-освітню роботу</w:t>
      </w:r>
      <w:r w:rsidRPr="005D2433">
        <w:rPr>
          <w:sz w:val="28"/>
          <w:szCs w:val="28"/>
          <w:lang w:val="uk-UA"/>
        </w:rPr>
        <w:t xml:space="preserve"> серед батьків, в засобах масової інформації та публікаціях щодо важливості вакцинації як невід’ємної складової захисту дітей та дорослих від інфекційних хвороб. </w:t>
      </w:r>
    </w:p>
    <w:p w:rsidR="00BF7C95" w:rsidRPr="005D2433" w:rsidRDefault="00BF7C95" w:rsidP="00BF7C95">
      <w:pPr>
        <w:pStyle w:val="a3"/>
        <w:numPr>
          <w:ilvl w:val="0"/>
          <w:numId w:val="23"/>
        </w:numPr>
        <w:ind w:left="0" w:firstLine="567"/>
        <w:jc w:val="both"/>
        <w:rPr>
          <w:sz w:val="28"/>
          <w:szCs w:val="28"/>
          <w:lang w:val="uk-UA"/>
        </w:rPr>
      </w:pPr>
      <w:r w:rsidRPr="005D2433">
        <w:rPr>
          <w:sz w:val="28"/>
          <w:szCs w:val="28"/>
          <w:lang w:val="uk-UA"/>
        </w:rPr>
        <w:t xml:space="preserve">Активізація роботи лікарями комунальних підприємств охорони здоров’я Луцької міської територіальної громади по ранньому виявленню </w:t>
      </w:r>
      <w:r w:rsidRPr="005D2433">
        <w:rPr>
          <w:sz w:val="28"/>
          <w:szCs w:val="28"/>
          <w:lang w:val="uk-UA"/>
        </w:rPr>
        <w:lastRenderedPageBreak/>
        <w:t>туберкульозу; участь в інформаційній роботі з населенням щодо профілактики, раннього виявлення та ефективного лікування туберкульозу.</w:t>
      </w:r>
    </w:p>
    <w:p w:rsidR="00BF7C95" w:rsidRDefault="00BF7C95" w:rsidP="00BF7C95">
      <w:pPr>
        <w:pStyle w:val="a3"/>
        <w:numPr>
          <w:ilvl w:val="0"/>
          <w:numId w:val="23"/>
        </w:numPr>
        <w:spacing w:after="28"/>
        <w:ind w:left="0" w:firstLine="567"/>
        <w:rPr>
          <w:sz w:val="28"/>
          <w:szCs w:val="28"/>
          <w:lang w:val="uk-UA"/>
        </w:rPr>
      </w:pPr>
      <w:r w:rsidRPr="005D2433">
        <w:rPr>
          <w:sz w:val="28"/>
          <w:szCs w:val="28"/>
          <w:lang w:val="uk-UA"/>
        </w:rPr>
        <w:t>Подальше впровадження сучасних медичних технологій.</w:t>
      </w:r>
    </w:p>
    <w:p w:rsidR="00BF7C95" w:rsidRDefault="009C4EC5" w:rsidP="00BF7C95">
      <w:pPr>
        <w:pStyle w:val="a3"/>
        <w:numPr>
          <w:ilvl w:val="0"/>
          <w:numId w:val="23"/>
        </w:numPr>
        <w:spacing w:after="28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роботи експертних команд </w:t>
      </w:r>
      <w:r w:rsidR="00BF7C95">
        <w:rPr>
          <w:sz w:val="28"/>
          <w:szCs w:val="28"/>
          <w:lang w:val="uk-UA"/>
        </w:rPr>
        <w:t xml:space="preserve">оцінювання повсякденного функціонування особи на базі </w:t>
      </w:r>
      <w:proofErr w:type="spellStart"/>
      <w:r w:rsidR="00BF7C95">
        <w:rPr>
          <w:sz w:val="28"/>
          <w:szCs w:val="28"/>
          <w:lang w:val="uk-UA"/>
        </w:rPr>
        <w:t>КП</w:t>
      </w:r>
      <w:proofErr w:type="spellEnd"/>
      <w:r w:rsidR="00BF7C95">
        <w:rPr>
          <w:sz w:val="28"/>
          <w:szCs w:val="28"/>
          <w:lang w:val="uk-UA"/>
        </w:rPr>
        <w:t xml:space="preserve"> «Медичне об’</w:t>
      </w:r>
      <w:r w:rsidR="00BF7C95" w:rsidRPr="00233FFB">
        <w:rPr>
          <w:sz w:val="28"/>
          <w:szCs w:val="28"/>
          <w:lang w:val="uk-UA"/>
        </w:rPr>
        <w:t>єднання Луцької міської територ</w:t>
      </w:r>
      <w:r w:rsidR="00BF7C95">
        <w:rPr>
          <w:sz w:val="28"/>
          <w:szCs w:val="28"/>
          <w:lang w:val="uk-UA"/>
        </w:rPr>
        <w:t>і</w:t>
      </w:r>
      <w:r w:rsidR="00BF7C95" w:rsidRPr="00233FFB">
        <w:rPr>
          <w:sz w:val="28"/>
          <w:szCs w:val="28"/>
          <w:lang w:val="uk-UA"/>
        </w:rPr>
        <w:t>альної громади</w:t>
      </w:r>
      <w:r w:rsidR="00BF7C95">
        <w:rPr>
          <w:sz w:val="28"/>
          <w:szCs w:val="28"/>
          <w:lang w:val="uk-UA"/>
        </w:rPr>
        <w:t>».</w:t>
      </w:r>
    </w:p>
    <w:p w:rsidR="00BF7C95" w:rsidRPr="001A1F19" w:rsidRDefault="00BF7C95" w:rsidP="00BF7C95">
      <w:pPr>
        <w:pStyle w:val="a3"/>
        <w:numPr>
          <w:ilvl w:val="0"/>
          <w:numId w:val="23"/>
        </w:numPr>
        <w:shd w:val="clear" w:color="auto" w:fill="FFFFFF"/>
        <w:ind w:left="0"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Участь </w:t>
      </w:r>
      <w:proofErr w:type="spellStart"/>
      <w:r w:rsidRPr="00451C6E">
        <w:rPr>
          <w:color w:val="000000"/>
          <w:sz w:val="28"/>
          <w:szCs w:val="28"/>
          <w:shd w:val="clear" w:color="auto" w:fill="FFFFFF"/>
          <w:lang w:val="uk-UA"/>
        </w:rPr>
        <w:t>КП</w:t>
      </w:r>
      <w:proofErr w:type="spellEnd"/>
      <w:r w:rsidRPr="00451C6E">
        <w:rPr>
          <w:color w:val="000000"/>
          <w:sz w:val="28"/>
          <w:szCs w:val="28"/>
          <w:shd w:val="clear" w:color="auto" w:fill="FFFFFF"/>
          <w:lang w:val="uk-UA"/>
        </w:rPr>
        <w:t xml:space="preserve"> «Медичне об’єднання Луцької міської територіальної громади» та </w:t>
      </w:r>
      <w:proofErr w:type="spellStart"/>
      <w:r w:rsidRPr="00451C6E">
        <w:rPr>
          <w:color w:val="000000"/>
          <w:sz w:val="28"/>
          <w:szCs w:val="28"/>
          <w:shd w:val="clear" w:color="auto" w:fill="FFFFFF"/>
          <w:lang w:val="uk-UA"/>
        </w:rPr>
        <w:t>КП</w:t>
      </w:r>
      <w:proofErr w:type="spellEnd"/>
      <w:r w:rsidRPr="00451C6E">
        <w:rPr>
          <w:color w:val="000000"/>
          <w:sz w:val="28"/>
          <w:szCs w:val="28"/>
          <w:shd w:val="clear" w:color="auto" w:fill="FFFFFF"/>
          <w:lang w:val="uk-UA"/>
        </w:rPr>
        <w:t xml:space="preserve"> «Луцька міська дитяча поліклініка»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проєкті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ЮНІСЕФ</w:t>
      </w:r>
      <w:r w:rsidRPr="00451C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</w:t>
      </w:r>
      <w:r w:rsidRPr="00451C6E">
        <w:rPr>
          <w:color w:val="000000"/>
          <w:sz w:val="28"/>
          <w:szCs w:val="28"/>
          <w:shd w:val="clear" w:color="auto" w:fill="FFFFFF"/>
          <w:lang w:val="uk-UA"/>
        </w:rPr>
        <w:t xml:space="preserve"> облаштування простору, дружнього до дитини в </w:t>
      </w:r>
      <w:proofErr w:type="spellStart"/>
      <w:r w:rsidRPr="00451C6E">
        <w:rPr>
          <w:color w:val="000000"/>
          <w:sz w:val="28"/>
          <w:szCs w:val="28"/>
          <w:shd w:val="clear" w:color="auto" w:fill="FFFFFF"/>
          <w:lang w:val="uk-UA"/>
        </w:rPr>
        <w:t>ЗОЗ</w:t>
      </w:r>
      <w:proofErr w:type="spellEnd"/>
      <w:r w:rsidRPr="00451C6E">
        <w:rPr>
          <w:color w:val="000000"/>
          <w:sz w:val="28"/>
          <w:szCs w:val="28"/>
          <w:shd w:val="clear" w:color="auto" w:fill="FFFFFF"/>
          <w:lang w:val="uk-UA"/>
        </w:rPr>
        <w:t xml:space="preserve"> первинної ланки за програмою </w:t>
      </w:r>
      <w:r w:rsidRPr="00451C6E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451C6E">
        <w:rPr>
          <w:color w:val="000000"/>
          <w:sz w:val="28"/>
          <w:szCs w:val="28"/>
          <w:shd w:val="clear" w:color="auto" w:fill="FFFFFF"/>
        </w:rPr>
        <w:t>Турбота</w:t>
      </w:r>
      <w:proofErr w:type="spellEnd"/>
      <w:r w:rsidRPr="00451C6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1C6E">
        <w:rPr>
          <w:color w:val="000000"/>
          <w:sz w:val="28"/>
          <w:szCs w:val="28"/>
          <w:shd w:val="clear" w:color="auto" w:fill="FFFFFF"/>
        </w:rPr>
        <w:t>з</w:t>
      </w:r>
      <w:proofErr w:type="spellEnd"/>
      <w:r w:rsidRPr="00451C6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1C6E">
        <w:rPr>
          <w:color w:val="000000"/>
          <w:sz w:val="28"/>
          <w:szCs w:val="28"/>
          <w:shd w:val="clear" w:color="auto" w:fill="FFFFFF"/>
        </w:rPr>
        <w:t>дитинства</w:t>
      </w:r>
      <w:proofErr w:type="spellEnd"/>
      <w:r w:rsidRPr="00451C6E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 w:rsidRPr="00451C6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1C6E">
        <w:rPr>
          <w:color w:val="000000"/>
          <w:sz w:val="28"/>
          <w:szCs w:val="28"/>
          <w:shd w:val="clear" w:color="auto" w:fill="FFFFFF"/>
        </w:rPr>
        <w:t>ремонтних</w:t>
      </w:r>
      <w:proofErr w:type="spellEnd"/>
      <w:r w:rsidRPr="00451C6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1C6E">
        <w:rPr>
          <w:color w:val="000000"/>
          <w:sz w:val="28"/>
          <w:szCs w:val="28"/>
          <w:shd w:val="clear" w:color="auto" w:fill="FFFFFF"/>
        </w:rPr>
        <w:t>робіт</w:t>
      </w:r>
      <w:proofErr w:type="spellEnd"/>
      <w:r w:rsidRPr="00451C6E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приміщеннях підприємств)</w:t>
      </w:r>
      <w:r w:rsidRPr="00451C6E">
        <w:rPr>
          <w:color w:val="000000"/>
          <w:sz w:val="28"/>
          <w:szCs w:val="28"/>
          <w:shd w:val="clear" w:color="auto" w:fill="FFFFFF"/>
        </w:rPr>
        <w:t>.</w:t>
      </w:r>
    </w:p>
    <w:p w:rsidR="009C4EC5" w:rsidRPr="009C4EC5" w:rsidRDefault="001A1F19" w:rsidP="009C4EC5">
      <w:pPr>
        <w:pStyle w:val="a3"/>
        <w:numPr>
          <w:ilvl w:val="0"/>
          <w:numId w:val="23"/>
        </w:numPr>
        <w:shd w:val="clear" w:color="auto" w:fill="FFFFFF"/>
        <w:ind w:left="0" w:right="-2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Вивчення можливостей щодо розширення послуг з надання паліативної допомоги.</w:t>
      </w:r>
      <w:r w:rsidR="009C4EC5">
        <w:rPr>
          <w:sz w:val="28"/>
          <w:szCs w:val="28"/>
          <w:lang w:val="uk-UA"/>
        </w:rPr>
        <w:t xml:space="preserve"> </w:t>
      </w:r>
    </w:p>
    <w:p w:rsidR="002D6A33" w:rsidRPr="00BC5B0F" w:rsidRDefault="009C4EC5" w:rsidP="009C4EC5">
      <w:pPr>
        <w:pStyle w:val="a3"/>
        <w:numPr>
          <w:ilvl w:val="0"/>
          <w:numId w:val="23"/>
        </w:numPr>
        <w:shd w:val="clear" w:color="auto" w:fill="FFFFFF"/>
        <w:ind w:left="0" w:right="-2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Проводити комунікацію</w:t>
      </w:r>
      <w:r w:rsidR="002D6A33" w:rsidRPr="009C4EC5">
        <w:rPr>
          <w:sz w:val="28"/>
          <w:szCs w:val="28"/>
          <w:lang w:val="uk-UA"/>
        </w:rPr>
        <w:t xml:space="preserve"> з мешканцями Луцької міської територіальної громади щодо спектру надання медичних послуг, в тому числ</w:t>
      </w:r>
      <w:r>
        <w:rPr>
          <w:sz w:val="28"/>
          <w:szCs w:val="28"/>
          <w:lang w:val="uk-UA"/>
        </w:rPr>
        <w:t>і платних, в КПОЗ Луцької МТГ</w:t>
      </w:r>
      <w:r w:rsidR="002D6A33" w:rsidRPr="009C4EC5">
        <w:rPr>
          <w:sz w:val="28"/>
          <w:szCs w:val="28"/>
          <w:lang w:val="uk-UA"/>
        </w:rPr>
        <w:t xml:space="preserve"> через висвітлення інформації на офіційних сайтах управління та підприємств, в соціальних сторінках, зокрема </w:t>
      </w:r>
      <w:proofErr w:type="spellStart"/>
      <w:r w:rsidR="002D6A33" w:rsidRPr="009C4EC5">
        <w:rPr>
          <w:sz w:val="28"/>
          <w:szCs w:val="28"/>
          <w:lang w:val="uk-UA"/>
        </w:rPr>
        <w:t>Фейсбук</w:t>
      </w:r>
      <w:proofErr w:type="spellEnd"/>
      <w:r w:rsidR="002D6A33" w:rsidRPr="009C4EC5">
        <w:rPr>
          <w:sz w:val="28"/>
          <w:szCs w:val="28"/>
          <w:lang w:val="uk-UA"/>
        </w:rPr>
        <w:t xml:space="preserve">, друкованих ЗМІ, </w:t>
      </w:r>
      <w:proofErr w:type="spellStart"/>
      <w:r w:rsidR="002D6A33" w:rsidRPr="009C4EC5">
        <w:rPr>
          <w:sz w:val="28"/>
          <w:szCs w:val="28"/>
          <w:lang w:val="uk-UA"/>
        </w:rPr>
        <w:t>інтернет-виданнях</w:t>
      </w:r>
      <w:proofErr w:type="spellEnd"/>
      <w:r w:rsidR="002D6A33" w:rsidRPr="009C4EC5">
        <w:rPr>
          <w:sz w:val="28"/>
          <w:szCs w:val="28"/>
          <w:lang w:val="uk-UA"/>
        </w:rPr>
        <w:t>.</w:t>
      </w:r>
    </w:p>
    <w:p w:rsidR="00BC5B0F" w:rsidRPr="009C4EC5" w:rsidRDefault="00BC5B0F" w:rsidP="009C4EC5">
      <w:pPr>
        <w:pStyle w:val="a3"/>
        <w:numPr>
          <w:ilvl w:val="0"/>
          <w:numId w:val="23"/>
        </w:numPr>
        <w:shd w:val="clear" w:color="auto" w:fill="FFFFFF"/>
        <w:ind w:left="0" w:right="-2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Розробка місцевих галузевих програм на 2026-2030, в тому числі з урахуванням вимог Закону України </w:t>
      </w:r>
      <w:r w:rsidR="00706305" w:rsidRPr="00177EF7">
        <w:rPr>
          <w:sz w:val="28"/>
          <w:szCs w:val="28"/>
        </w:rPr>
        <w:t xml:space="preserve">«Про систему </w:t>
      </w:r>
      <w:proofErr w:type="spellStart"/>
      <w:r w:rsidR="00706305" w:rsidRPr="00177EF7">
        <w:rPr>
          <w:sz w:val="28"/>
          <w:szCs w:val="28"/>
        </w:rPr>
        <w:t>громадського</w:t>
      </w:r>
      <w:proofErr w:type="spellEnd"/>
      <w:r w:rsidR="00706305" w:rsidRPr="00177EF7">
        <w:rPr>
          <w:sz w:val="28"/>
          <w:szCs w:val="28"/>
        </w:rPr>
        <w:t xml:space="preserve"> </w:t>
      </w:r>
      <w:proofErr w:type="spellStart"/>
      <w:r w:rsidR="00706305" w:rsidRPr="00177EF7">
        <w:rPr>
          <w:sz w:val="28"/>
          <w:szCs w:val="28"/>
        </w:rPr>
        <w:t>здоров’я</w:t>
      </w:r>
      <w:proofErr w:type="spellEnd"/>
      <w:r w:rsidR="00706305" w:rsidRPr="00177EF7">
        <w:rPr>
          <w:sz w:val="28"/>
          <w:szCs w:val="28"/>
        </w:rPr>
        <w:t>»</w:t>
      </w:r>
      <w:r w:rsidR="00706305">
        <w:rPr>
          <w:sz w:val="28"/>
          <w:szCs w:val="28"/>
          <w:lang w:val="uk-UA"/>
        </w:rPr>
        <w:t xml:space="preserve"> в частині повноважень та </w:t>
      </w:r>
      <w:proofErr w:type="spellStart"/>
      <w:r w:rsidR="00706305">
        <w:rPr>
          <w:sz w:val="28"/>
          <w:szCs w:val="28"/>
          <w:lang w:val="uk-UA"/>
        </w:rPr>
        <w:t>обов’</w:t>
      </w:r>
      <w:r w:rsidR="00706305" w:rsidRPr="00706305">
        <w:rPr>
          <w:sz w:val="28"/>
          <w:szCs w:val="28"/>
        </w:rPr>
        <w:t>язків</w:t>
      </w:r>
      <w:proofErr w:type="spellEnd"/>
      <w:r w:rsidR="00706305" w:rsidRPr="00706305">
        <w:rPr>
          <w:sz w:val="28"/>
          <w:szCs w:val="28"/>
        </w:rPr>
        <w:t xml:space="preserve"> </w:t>
      </w:r>
      <w:proofErr w:type="spellStart"/>
      <w:r w:rsidR="00706305" w:rsidRPr="00706305">
        <w:rPr>
          <w:sz w:val="28"/>
          <w:szCs w:val="28"/>
        </w:rPr>
        <w:t>органів</w:t>
      </w:r>
      <w:proofErr w:type="spellEnd"/>
      <w:r w:rsidR="00706305" w:rsidRPr="00706305">
        <w:rPr>
          <w:sz w:val="28"/>
          <w:szCs w:val="28"/>
        </w:rPr>
        <w:t xml:space="preserve"> </w:t>
      </w:r>
      <w:proofErr w:type="spellStart"/>
      <w:r w:rsidR="00706305" w:rsidRPr="00706305">
        <w:rPr>
          <w:sz w:val="28"/>
          <w:szCs w:val="28"/>
        </w:rPr>
        <w:t>місцевого</w:t>
      </w:r>
      <w:proofErr w:type="spellEnd"/>
      <w:r w:rsidR="00706305" w:rsidRPr="00706305">
        <w:rPr>
          <w:sz w:val="28"/>
          <w:szCs w:val="28"/>
        </w:rPr>
        <w:t xml:space="preserve"> </w:t>
      </w:r>
      <w:proofErr w:type="spellStart"/>
      <w:r w:rsidR="00706305" w:rsidRPr="00706305">
        <w:rPr>
          <w:sz w:val="28"/>
          <w:szCs w:val="28"/>
        </w:rPr>
        <w:t>самоврядування</w:t>
      </w:r>
      <w:proofErr w:type="spellEnd"/>
      <w:r w:rsidR="00706305" w:rsidRPr="00706305">
        <w:rPr>
          <w:sz w:val="28"/>
          <w:szCs w:val="28"/>
        </w:rPr>
        <w:t>.</w:t>
      </w:r>
    </w:p>
    <w:p w:rsidR="002D6A33" w:rsidRPr="002D6A33" w:rsidRDefault="002D6A33" w:rsidP="002D6A33">
      <w:pPr>
        <w:pStyle w:val="a3"/>
        <w:shd w:val="clear" w:color="auto" w:fill="FFFFFF"/>
        <w:ind w:left="680" w:right="-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D72225" w:rsidRPr="00D72225" w:rsidRDefault="00D72225" w:rsidP="00D72225">
      <w:pPr>
        <w:shd w:val="clear" w:color="auto" w:fill="FFFFFF"/>
        <w:ind w:right="-2"/>
        <w:jc w:val="both"/>
        <w:rPr>
          <w:color w:val="000000"/>
          <w:sz w:val="28"/>
          <w:szCs w:val="28"/>
          <w:shd w:val="clear" w:color="auto" w:fill="FFFFFF"/>
        </w:rPr>
      </w:pPr>
    </w:p>
    <w:p w:rsidR="001A1F19" w:rsidRPr="001A1F19" w:rsidRDefault="001A1F19" w:rsidP="001A1F19">
      <w:pPr>
        <w:shd w:val="clear" w:color="auto" w:fill="FFFFFF"/>
        <w:ind w:right="-2"/>
        <w:jc w:val="both"/>
        <w:rPr>
          <w:color w:val="000000"/>
          <w:sz w:val="28"/>
          <w:szCs w:val="28"/>
          <w:shd w:val="clear" w:color="auto" w:fill="FFFFFF"/>
        </w:rPr>
      </w:pPr>
    </w:p>
    <w:p w:rsidR="005A1BCA" w:rsidRPr="005D2433" w:rsidRDefault="005A1BCA" w:rsidP="005A1BCA">
      <w:pPr>
        <w:tabs>
          <w:tab w:val="left" w:pos="2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BCA" w:rsidRPr="005D2433" w:rsidRDefault="005A1BCA" w:rsidP="005A1BCA">
      <w:pPr>
        <w:tabs>
          <w:tab w:val="left" w:pos="2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433">
        <w:rPr>
          <w:rFonts w:ascii="Times New Roman" w:hAnsi="Times New Roman" w:cs="Times New Roman"/>
          <w:sz w:val="28"/>
          <w:szCs w:val="28"/>
        </w:rPr>
        <w:t>Начальник управління                                                 Володимир ЛОТВІН</w:t>
      </w:r>
    </w:p>
    <w:p w:rsidR="00176852" w:rsidRPr="00796401" w:rsidRDefault="00176852" w:rsidP="002D410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101" w:rsidRPr="00796401" w:rsidRDefault="002D4101" w:rsidP="0045736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D4101" w:rsidRPr="00796401" w:rsidSect="00BA19ED">
      <w:pgSz w:w="11906" w:h="16838" w:code="9"/>
      <w:pgMar w:top="851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F7D"/>
    <w:multiLevelType w:val="hybridMultilevel"/>
    <w:tmpl w:val="DD64DA5A"/>
    <w:lvl w:ilvl="0" w:tplc="2B560980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1CF0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9A5A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BA16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B0DD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D2E4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292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0ED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80B9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4C6EB5"/>
    <w:multiLevelType w:val="hybridMultilevel"/>
    <w:tmpl w:val="69787FF8"/>
    <w:lvl w:ilvl="0" w:tplc="107E2E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8F536A"/>
    <w:multiLevelType w:val="hybridMultilevel"/>
    <w:tmpl w:val="54709C5C"/>
    <w:lvl w:ilvl="0" w:tplc="44FE4A9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BA4491"/>
    <w:multiLevelType w:val="hybridMultilevel"/>
    <w:tmpl w:val="1FBEFC34"/>
    <w:lvl w:ilvl="0" w:tplc="8E8AD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167224"/>
    <w:multiLevelType w:val="hybridMultilevel"/>
    <w:tmpl w:val="DBBA2F62"/>
    <w:lvl w:ilvl="0" w:tplc="00F8624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213C3BB5"/>
    <w:multiLevelType w:val="hybridMultilevel"/>
    <w:tmpl w:val="00D64F9C"/>
    <w:lvl w:ilvl="0" w:tplc="EC74ADE0">
      <w:start w:val="2017"/>
      <w:numFmt w:val="decimal"/>
      <w:lvlText w:val="%1"/>
      <w:lvlJc w:val="left"/>
      <w:pPr>
        <w:ind w:left="1167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CF2AE7"/>
    <w:multiLevelType w:val="hybridMultilevel"/>
    <w:tmpl w:val="EAF2035C"/>
    <w:lvl w:ilvl="0" w:tplc="327C191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67CFD"/>
    <w:multiLevelType w:val="hybridMultilevel"/>
    <w:tmpl w:val="081A3570"/>
    <w:lvl w:ilvl="0" w:tplc="7012F99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451C7C"/>
    <w:multiLevelType w:val="hybridMultilevel"/>
    <w:tmpl w:val="A6081F22"/>
    <w:lvl w:ilvl="0" w:tplc="F48A075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9DB759D"/>
    <w:multiLevelType w:val="hybridMultilevel"/>
    <w:tmpl w:val="F6A00C2C"/>
    <w:lvl w:ilvl="0" w:tplc="03ECBA0C">
      <w:start w:val="2017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CCE0F51"/>
    <w:multiLevelType w:val="hybridMultilevel"/>
    <w:tmpl w:val="C66A7668"/>
    <w:lvl w:ilvl="0" w:tplc="41E6A6F6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37D40"/>
    <w:multiLevelType w:val="hybridMultilevel"/>
    <w:tmpl w:val="C48EE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E156A"/>
    <w:multiLevelType w:val="hybridMultilevel"/>
    <w:tmpl w:val="BDA84C44"/>
    <w:lvl w:ilvl="0" w:tplc="D1B258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84D1DAD"/>
    <w:multiLevelType w:val="hybridMultilevel"/>
    <w:tmpl w:val="C246AC42"/>
    <w:lvl w:ilvl="0" w:tplc="C176768E">
      <w:start w:val="2017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2C5830"/>
    <w:multiLevelType w:val="hybridMultilevel"/>
    <w:tmpl w:val="FC2E2AA2"/>
    <w:lvl w:ilvl="0" w:tplc="460EDB6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9981C40"/>
    <w:multiLevelType w:val="hybridMultilevel"/>
    <w:tmpl w:val="54E662F0"/>
    <w:lvl w:ilvl="0" w:tplc="6A907502">
      <w:start w:val="2019"/>
      <w:numFmt w:val="decimal"/>
      <w:lvlText w:val="%1"/>
      <w:lvlJc w:val="left"/>
      <w:pPr>
        <w:ind w:left="1440" w:hanging="60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AD33D8A"/>
    <w:multiLevelType w:val="hybridMultilevel"/>
    <w:tmpl w:val="A1E682A6"/>
    <w:lvl w:ilvl="0" w:tplc="E438DF92">
      <w:start w:val="2017"/>
      <w:numFmt w:val="decimal"/>
      <w:lvlText w:val="%1"/>
      <w:lvlJc w:val="left"/>
      <w:pPr>
        <w:ind w:left="960" w:hanging="60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F5A21"/>
    <w:multiLevelType w:val="hybridMultilevel"/>
    <w:tmpl w:val="F348B92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8C1B9B"/>
    <w:multiLevelType w:val="hybridMultilevel"/>
    <w:tmpl w:val="3A926E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EA01ECA"/>
    <w:multiLevelType w:val="hybridMultilevel"/>
    <w:tmpl w:val="C77A26E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4FB16EBE"/>
    <w:multiLevelType w:val="hybridMultilevel"/>
    <w:tmpl w:val="511AE776"/>
    <w:lvl w:ilvl="0" w:tplc="546046D8">
      <w:start w:val="2017"/>
      <w:numFmt w:val="decimal"/>
      <w:lvlText w:val="%1"/>
      <w:lvlJc w:val="left"/>
      <w:pPr>
        <w:ind w:left="600" w:hanging="60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6B40A0"/>
    <w:multiLevelType w:val="hybridMultilevel"/>
    <w:tmpl w:val="766C71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8750B"/>
    <w:multiLevelType w:val="hybridMultilevel"/>
    <w:tmpl w:val="0F3A6DDC"/>
    <w:lvl w:ilvl="0" w:tplc="13725BF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1C62659"/>
    <w:multiLevelType w:val="hybridMultilevel"/>
    <w:tmpl w:val="24949182"/>
    <w:lvl w:ilvl="0" w:tplc="94340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40DD1"/>
    <w:multiLevelType w:val="hybridMultilevel"/>
    <w:tmpl w:val="6BD2D5A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A5F1F46"/>
    <w:multiLevelType w:val="hybridMultilevel"/>
    <w:tmpl w:val="9FFE4CE2"/>
    <w:lvl w:ilvl="0" w:tplc="D35C22E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lang w:val="uk-U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171E24"/>
    <w:multiLevelType w:val="hybridMultilevel"/>
    <w:tmpl w:val="106ED1CE"/>
    <w:lvl w:ilvl="0" w:tplc="23F4C1AA">
      <w:start w:val="2017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"/>
  </w:num>
  <w:num w:numId="4">
    <w:abstractNumId w:val="15"/>
  </w:num>
  <w:num w:numId="5">
    <w:abstractNumId w:val="9"/>
  </w:num>
  <w:num w:numId="6">
    <w:abstractNumId w:val="20"/>
  </w:num>
  <w:num w:numId="7">
    <w:abstractNumId w:val="26"/>
  </w:num>
  <w:num w:numId="8">
    <w:abstractNumId w:val="6"/>
  </w:num>
  <w:num w:numId="9">
    <w:abstractNumId w:val="13"/>
  </w:num>
  <w:num w:numId="10">
    <w:abstractNumId w:val="10"/>
  </w:num>
  <w:num w:numId="11">
    <w:abstractNumId w:val="16"/>
  </w:num>
  <w:num w:numId="12">
    <w:abstractNumId w:val="12"/>
  </w:num>
  <w:num w:numId="13">
    <w:abstractNumId w:val="14"/>
  </w:num>
  <w:num w:numId="14">
    <w:abstractNumId w:val="2"/>
  </w:num>
  <w:num w:numId="15">
    <w:abstractNumId w:val="5"/>
  </w:num>
  <w:num w:numId="16">
    <w:abstractNumId w:val="0"/>
  </w:num>
  <w:num w:numId="17">
    <w:abstractNumId w:val="21"/>
  </w:num>
  <w:num w:numId="18">
    <w:abstractNumId w:val="19"/>
  </w:num>
  <w:num w:numId="19">
    <w:abstractNumId w:val="8"/>
  </w:num>
  <w:num w:numId="20">
    <w:abstractNumId w:val="11"/>
  </w:num>
  <w:num w:numId="21">
    <w:abstractNumId w:val="22"/>
  </w:num>
  <w:num w:numId="22">
    <w:abstractNumId w:val="25"/>
  </w:num>
  <w:num w:numId="23">
    <w:abstractNumId w:val="4"/>
  </w:num>
  <w:num w:numId="24">
    <w:abstractNumId w:val="17"/>
  </w:num>
  <w:num w:numId="25">
    <w:abstractNumId w:val="24"/>
  </w:num>
  <w:num w:numId="26">
    <w:abstractNumId w:val="7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574"/>
    <w:rsid w:val="000015D4"/>
    <w:rsid w:val="00004083"/>
    <w:rsid w:val="00006F4E"/>
    <w:rsid w:val="000118FA"/>
    <w:rsid w:val="00013F51"/>
    <w:rsid w:val="00014348"/>
    <w:rsid w:val="00015AC9"/>
    <w:rsid w:val="0002625E"/>
    <w:rsid w:val="00030BE5"/>
    <w:rsid w:val="00042766"/>
    <w:rsid w:val="00047A4A"/>
    <w:rsid w:val="00047DAD"/>
    <w:rsid w:val="00051F3E"/>
    <w:rsid w:val="00054366"/>
    <w:rsid w:val="000547E8"/>
    <w:rsid w:val="000568FC"/>
    <w:rsid w:val="0006149E"/>
    <w:rsid w:val="00070F88"/>
    <w:rsid w:val="00073862"/>
    <w:rsid w:val="00073ED3"/>
    <w:rsid w:val="00073F66"/>
    <w:rsid w:val="00076DC4"/>
    <w:rsid w:val="00095C42"/>
    <w:rsid w:val="000A02D9"/>
    <w:rsid w:val="000A176B"/>
    <w:rsid w:val="000A3566"/>
    <w:rsid w:val="000B072A"/>
    <w:rsid w:val="000B0782"/>
    <w:rsid w:val="000B267E"/>
    <w:rsid w:val="000B771D"/>
    <w:rsid w:val="000C1C16"/>
    <w:rsid w:val="000C72E5"/>
    <w:rsid w:val="000C7B21"/>
    <w:rsid w:val="000D0B2E"/>
    <w:rsid w:val="000D1A10"/>
    <w:rsid w:val="000D460D"/>
    <w:rsid w:val="000D507F"/>
    <w:rsid w:val="000D762D"/>
    <w:rsid w:val="000E355E"/>
    <w:rsid w:val="000E55BF"/>
    <w:rsid w:val="000F09FD"/>
    <w:rsid w:val="000F0D75"/>
    <w:rsid w:val="000F17C8"/>
    <w:rsid w:val="000F4259"/>
    <w:rsid w:val="001011E1"/>
    <w:rsid w:val="0010250F"/>
    <w:rsid w:val="00103709"/>
    <w:rsid w:val="001037E9"/>
    <w:rsid w:val="00107005"/>
    <w:rsid w:val="00116B66"/>
    <w:rsid w:val="00117813"/>
    <w:rsid w:val="00127EF4"/>
    <w:rsid w:val="00131B17"/>
    <w:rsid w:val="00133714"/>
    <w:rsid w:val="0014023F"/>
    <w:rsid w:val="00142739"/>
    <w:rsid w:val="00142988"/>
    <w:rsid w:val="00160CEC"/>
    <w:rsid w:val="0016736C"/>
    <w:rsid w:val="001676D4"/>
    <w:rsid w:val="00171999"/>
    <w:rsid w:val="00176852"/>
    <w:rsid w:val="00177EF7"/>
    <w:rsid w:val="001843CF"/>
    <w:rsid w:val="001922FF"/>
    <w:rsid w:val="00194DD7"/>
    <w:rsid w:val="001A0007"/>
    <w:rsid w:val="001A13C7"/>
    <w:rsid w:val="001A1F19"/>
    <w:rsid w:val="001A6C18"/>
    <w:rsid w:val="001B24A7"/>
    <w:rsid w:val="001B2CAB"/>
    <w:rsid w:val="001B63FE"/>
    <w:rsid w:val="001B66C3"/>
    <w:rsid w:val="001C29F8"/>
    <w:rsid w:val="001D2DA8"/>
    <w:rsid w:val="001D7A48"/>
    <w:rsid w:val="001E0FEE"/>
    <w:rsid w:val="001E2819"/>
    <w:rsid w:val="001E2984"/>
    <w:rsid w:val="001E785B"/>
    <w:rsid w:val="001F0ACB"/>
    <w:rsid w:val="001F6321"/>
    <w:rsid w:val="001F7FAE"/>
    <w:rsid w:val="00203063"/>
    <w:rsid w:val="002126CF"/>
    <w:rsid w:val="0021568C"/>
    <w:rsid w:val="002231B0"/>
    <w:rsid w:val="00223833"/>
    <w:rsid w:val="002271AE"/>
    <w:rsid w:val="00232811"/>
    <w:rsid w:val="0023426B"/>
    <w:rsid w:val="00234FB1"/>
    <w:rsid w:val="00247790"/>
    <w:rsid w:val="00253CCA"/>
    <w:rsid w:val="00260094"/>
    <w:rsid w:val="00263693"/>
    <w:rsid w:val="002642CB"/>
    <w:rsid w:val="002649DF"/>
    <w:rsid w:val="00266115"/>
    <w:rsid w:val="002744A4"/>
    <w:rsid w:val="00283B1F"/>
    <w:rsid w:val="00290E6E"/>
    <w:rsid w:val="002A5574"/>
    <w:rsid w:val="002B1F72"/>
    <w:rsid w:val="002C28AA"/>
    <w:rsid w:val="002C5B09"/>
    <w:rsid w:val="002C6062"/>
    <w:rsid w:val="002C7027"/>
    <w:rsid w:val="002C7BEE"/>
    <w:rsid w:val="002D4101"/>
    <w:rsid w:val="002D6A33"/>
    <w:rsid w:val="002D74FF"/>
    <w:rsid w:val="002E7941"/>
    <w:rsid w:val="002F6FBB"/>
    <w:rsid w:val="002F7748"/>
    <w:rsid w:val="002F7E83"/>
    <w:rsid w:val="00301453"/>
    <w:rsid w:val="003038CD"/>
    <w:rsid w:val="00315387"/>
    <w:rsid w:val="00320A35"/>
    <w:rsid w:val="00321E6B"/>
    <w:rsid w:val="00325FC0"/>
    <w:rsid w:val="00331028"/>
    <w:rsid w:val="003535AE"/>
    <w:rsid w:val="0035572C"/>
    <w:rsid w:val="003612DD"/>
    <w:rsid w:val="0037156D"/>
    <w:rsid w:val="0038224C"/>
    <w:rsid w:val="00391051"/>
    <w:rsid w:val="00396137"/>
    <w:rsid w:val="003A27B0"/>
    <w:rsid w:val="003A51D6"/>
    <w:rsid w:val="003C1311"/>
    <w:rsid w:val="003D01F0"/>
    <w:rsid w:val="003D57C7"/>
    <w:rsid w:val="003F255C"/>
    <w:rsid w:val="003F3307"/>
    <w:rsid w:val="003F5660"/>
    <w:rsid w:val="003F61A3"/>
    <w:rsid w:val="003F7F30"/>
    <w:rsid w:val="004043AF"/>
    <w:rsid w:val="00407118"/>
    <w:rsid w:val="004077BD"/>
    <w:rsid w:val="00412A4E"/>
    <w:rsid w:val="00415B68"/>
    <w:rsid w:val="0041663E"/>
    <w:rsid w:val="004213A1"/>
    <w:rsid w:val="00422729"/>
    <w:rsid w:val="00426BF3"/>
    <w:rsid w:val="00445FB4"/>
    <w:rsid w:val="00446F6E"/>
    <w:rsid w:val="00453415"/>
    <w:rsid w:val="00453804"/>
    <w:rsid w:val="00455B41"/>
    <w:rsid w:val="00457361"/>
    <w:rsid w:val="00457437"/>
    <w:rsid w:val="004705B3"/>
    <w:rsid w:val="0047408E"/>
    <w:rsid w:val="0048117F"/>
    <w:rsid w:val="00482007"/>
    <w:rsid w:val="0048627E"/>
    <w:rsid w:val="00490EAE"/>
    <w:rsid w:val="00497394"/>
    <w:rsid w:val="004A1765"/>
    <w:rsid w:val="004B1499"/>
    <w:rsid w:val="004B1968"/>
    <w:rsid w:val="004B6708"/>
    <w:rsid w:val="004B7303"/>
    <w:rsid w:val="004C333C"/>
    <w:rsid w:val="004C6D9F"/>
    <w:rsid w:val="004D3DEB"/>
    <w:rsid w:val="004D4755"/>
    <w:rsid w:val="004E1996"/>
    <w:rsid w:val="004E6BE2"/>
    <w:rsid w:val="004E6D9E"/>
    <w:rsid w:val="004F1EE1"/>
    <w:rsid w:val="004F7904"/>
    <w:rsid w:val="00507111"/>
    <w:rsid w:val="00513955"/>
    <w:rsid w:val="00520DBA"/>
    <w:rsid w:val="00523EC7"/>
    <w:rsid w:val="00524FF7"/>
    <w:rsid w:val="00525860"/>
    <w:rsid w:val="00527EB6"/>
    <w:rsid w:val="005327FB"/>
    <w:rsid w:val="0053744F"/>
    <w:rsid w:val="00552097"/>
    <w:rsid w:val="00560934"/>
    <w:rsid w:val="00561535"/>
    <w:rsid w:val="00562ED0"/>
    <w:rsid w:val="0057622C"/>
    <w:rsid w:val="00585616"/>
    <w:rsid w:val="005927F5"/>
    <w:rsid w:val="00593377"/>
    <w:rsid w:val="005A1BCA"/>
    <w:rsid w:val="005B2B4A"/>
    <w:rsid w:val="005B4877"/>
    <w:rsid w:val="005B6F4A"/>
    <w:rsid w:val="005B7E40"/>
    <w:rsid w:val="005D25DC"/>
    <w:rsid w:val="005D2E6E"/>
    <w:rsid w:val="005D391E"/>
    <w:rsid w:val="005E5C5F"/>
    <w:rsid w:val="005F1126"/>
    <w:rsid w:val="005F3FF5"/>
    <w:rsid w:val="005F4D25"/>
    <w:rsid w:val="005F64D7"/>
    <w:rsid w:val="005F779A"/>
    <w:rsid w:val="00603ADB"/>
    <w:rsid w:val="00611552"/>
    <w:rsid w:val="00613051"/>
    <w:rsid w:val="00613C23"/>
    <w:rsid w:val="00613E0B"/>
    <w:rsid w:val="006141B6"/>
    <w:rsid w:val="00615ABB"/>
    <w:rsid w:val="006170E6"/>
    <w:rsid w:val="00622DC9"/>
    <w:rsid w:val="006261C9"/>
    <w:rsid w:val="00630335"/>
    <w:rsid w:val="0063412A"/>
    <w:rsid w:val="00634E73"/>
    <w:rsid w:val="00643944"/>
    <w:rsid w:val="006460F8"/>
    <w:rsid w:val="006468EF"/>
    <w:rsid w:val="00667297"/>
    <w:rsid w:val="00667453"/>
    <w:rsid w:val="0067062B"/>
    <w:rsid w:val="006822C4"/>
    <w:rsid w:val="00685DF0"/>
    <w:rsid w:val="006870FA"/>
    <w:rsid w:val="00692C6A"/>
    <w:rsid w:val="00696187"/>
    <w:rsid w:val="006A015D"/>
    <w:rsid w:val="006A5DBD"/>
    <w:rsid w:val="006A6856"/>
    <w:rsid w:val="006A6F94"/>
    <w:rsid w:val="006B4888"/>
    <w:rsid w:val="006B787E"/>
    <w:rsid w:val="006C17A7"/>
    <w:rsid w:val="006C3391"/>
    <w:rsid w:val="006C67DF"/>
    <w:rsid w:val="006D11F7"/>
    <w:rsid w:val="006D6CF1"/>
    <w:rsid w:val="006E1B47"/>
    <w:rsid w:val="006E2150"/>
    <w:rsid w:val="006F2E98"/>
    <w:rsid w:val="006F305F"/>
    <w:rsid w:val="006F3414"/>
    <w:rsid w:val="006F42E5"/>
    <w:rsid w:val="00700A75"/>
    <w:rsid w:val="007022CA"/>
    <w:rsid w:val="007026E4"/>
    <w:rsid w:val="00706305"/>
    <w:rsid w:val="00717C48"/>
    <w:rsid w:val="007310EA"/>
    <w:rsid w:val="007313FE"/>
    <w:rsid w:val="007344CF"/>
    <w:rsid w:val="007368D4"/>
    <w:rsid w:val="00743C87"/>
    <w:rsid w:val="00745004"/>
    <w:rsid w:val="00751923"/>
    <w:rsid w:val="00751D1F"/>
    <w:rsid w:val="00752CCA"/>
    <w:rsid w:val="00756E5D"/>
    <w:rsid w:val="0078115A"/>
    <w:rsid w:val="00786205"/>
    <w:rsid w:val="00796401"/>
    <w:rsid w:val="007A128A"/>
    <w:rsid w:val="007A29A6"/>
    <w:rsid w:val="007C2AF9"/>
    <w:rsid w:val="007C2E62"/>
    <w:rsid w:val="007E25DA"/>
    <w:rsid w:val="007E5509"/>
    <w:rsid w:val="007F0D7A"/>
    <w:rsid w:val="007F3FB4"/>
    <w:rsid w:val="007F5E4A"/>
    <w:rsid w:val="007F7D55"/>
    <w:rsid w:val="0080263E"/>
    <w:rsid w:val="00802A79"/>
    <w:rsid w:val="00802F9A"/>
    <w:rsid w:val="00805739"/>
    <w:rsid w:val="008107CE"/>
    <w:rsid w:val="00815939"/>
    <w:rsid w:val="0082037F"/>
    <w:rsid w:val="00820A3D"/>
    <w:rsid w:val="00821892"/>
    <w:rsid w:val="00822575"/>
    <w:rsid w:val="00823055"/>
    <w:rsid w:val="00832A07"/>
    <w:rsid w:val="0083322F"/>
    <w:rsid w:val="00837A68"/>
    <w:rsid w:val="00843B69"/>
    <w:rsid w:val="008564F2"/>
    <w:rsid w:val="0085662C"/>
    <w:rsid w:val="008571DA"/>
    <w:rsid w:val="00860E0F"/>
    <w:rsid w:val="008620C8"/>
    <w:rsid w:val="00864A16"/>
    <w:rsid w:val="00866433"/>
    <w:rsid w:val="0087023E"/>
    <w:rsid w:val="0087132B"/>
    <w:rsid w:val="00873AE5"/>
    <w:rsid w:val="00874AAE"/>
    <w:rsid w:val="00877886"/>
    <w:rsid w:val="008829FF"/>
    <w:rsid w:val="00883A64"/>
    <w:rsid w:val="008879DF"/>
    <w:rsid w:val="00890259"/>
    <w:rsid w:val="008913C2"/>
    <w:rsid w:val="008A0034"/>
    <w:rsid w:val="008A1E55"/>
    <w:rsid w:val="008A2263"/>
    <w:rsid w:val="008A2355"/>
    <w:rsid w:val="008C1C3A"/>
    <w:rsid w:val="008C3507"/>
    <w:rsid w:val="008C43A2"/>
    <w:rsid w:val="008C69DA"/>
    <w:rsid w:val="008D06CB"/>
    <w:rsid w:val="008F00D5"/>
    <w:rsid w:val="008F302B"/>
    <w:rsid w:val="008F4AF1"/>
    <w:rsid w:val="00901F33"/>
    <w:rsid w:val="00905F15"/>
    <w:rsid w:val="0091149E"/>
    <w:rsid w:val="009177E4"/>
    <w:rsid w:val="00927060"/>
    <w:rsid w:val="009279F3"/>
    <w:rsid w:val="009323C9"/>
    <w:rsid w:val="009341C3"/>
    <w:rsid w:val="009347C4"/>
    <w:rsid w:val="0094154D"/>
    <w:rsid w:val="0096263F"/>
    <w:rsid w:val="00964A39"/>
    <w:rsid w:val="00964EB8"/>
    <w:rsid w:val="009657DD"/>
    <w:rsid w:val="00972A9A"/>
    <w:rsid w:val="00976B75"/>
    <w:rsid w:val="0098245B"/>
    <w:rsid w:val="00982981"/>
    <w:rsid w:val="00984644"/>
    <w:rsid w:val="009904AE"/>
    <w:rsid w:val="00994073"/>
    <w:rsid w:val="009A0F9F"/>
    <w:rsid w:val="009A31CF"/>
    <w:rsid w:val="009A3C61"/>
    <w:rsid w:val="009A61BF"/>
    <w:rsid w:val="009B1D98"/>
    <w:rsid w:val="009B5A0B"/>
    <w:rsid w:val="009B7DAB"/>
    <w:rsid w:val="009C4EC5"/>
    <w:rsid w:val="009D3E72"/>
    <w:rsid w:val="009E1941"/>
    <w:rsid w:val="009E282C"/>
    <w:rsid w:val="009F47B2"/>
    <w:rsid w:val="00A02E7F"/>
    <w:rsid w:val="00A1194C"/>
    <w:rsid w:val="00A11A34"/>
    <w:rsid w:val="00A14B68"/>
    <w:rsid w:val="00A15072"/>
    <w:rsid w:val="00A21E8A"/>
    <w:rsid w:val="00A2209B"/>
    <w:rsid w:val="00A23E9C"/>
    <w:rsid w:val="00A2491B"/>
    <w:rsid w:val="00A34510"/>
    <w:rsid w:val="00A35259"/>
    <w:rsid w:val="00A37861"/>
    <w:rsid w:val="00A46DE5"/>
    <w:rsid w:val="00A64DF7"/>
    <w:rsid w:val="00A71CA6"/>
    <w:rsid w:val="00A74C93"/>
    <w:rsid w:val="00A82922"/>
    <w:rsid w:val="00A83B6F"/>
    <w:rsid w:val="00A862DF"/>
    <w:rsid w:val="00A87AF9"/>
    <w:rsid w:val="00A901E5"/>
    <w:rsid w:val="00A94C00"/>
    <w:rsid w:val="00A951F0"/>
    <w:rsid w:val="00AA1E84"/>
    <w:rsid w:val="00AA339D"/>
    <w:rsid w:val="00AA4DAC"/>
    <w:rsid w:val="00AA58DF"/>
    <w:rsid w:val="00AB1A5A"/>
    <w:rsid w:val="00AB7AAC"/>
    <w:rsid w:val="00AB7B18"/>
    <w:rsid w:val="00AC2BF4"/>
    <w:rsid w:val="00AC3E52"/>
    <w:rsid w:val="00AD2BE6"/>
    <w:rsid w:val="00AD606E"/>
    <w:rsid w:val="00AE6911"/>
    <w:rsid w:val="00AF3571"/>
    <w:rsid w:val="00B003BE"/>
    <w:rsid w:val="00B0611C"/>
    <w:rsid w:val="00B0668F"/>
    <w:rsid w:val="00B14279"/>
    <w:rsid w:val="00B14501"/>
    <w:rsid w:val="00B14D8B"/>
    <w:rsid w:val="00B17F63"/>
    <w:rsid w:val="00B20889"/>
    <w:rsid w:val="00B22871"/>
    <w:rsid w:val="00B274F6"/>
    <w:rsid w:val="00B369E8"/>
    <w:rsid w:val="00B36FA9"/>
    <w:rsid w:val="00B47900"/>
    <w:rsid w:val="00B552B3"/>
    <w:rsid w:val="00B60D6D"/>
    <w:rsid w:val="00B62354"/>
    <w:rsid w:val="00B65564"/>
    <w:rsid w:val="00B7013E"/>
    <w:rsid w:val="00B72061"/>
    <w:rsid w:val="00B8203E"/>
    <w:rsid w:val="00B8355C"/>
    <w:rsid w:val="00B86E74"/>
    <w:rsid w:val="00B97AAB"/>
    <w:rsid w:val="00BA0854"/>
    <w:rsid w:val="00BA19ED"/>
    <w:rsid w:val="00BA1E8D"/>
    <w:rsid w:val="00BA3E13"/>
    <w:rsid w:val="00BB1611"/>
    <w:rsid w:val="00BB2E66"/>
    <w:rsid w:val="00BB3826"/>
    <w:rsid w:val="00BB3952"/>
    <w:rsid w:val="00BB69A6"/>
    <w:rsid w:val="00BC5B0F"/>
    <w:rsid w:val="00BC7CD8"/>
    <w:rsid w:val="00BE244B"/>
    <w:rsid w:val="00BF5E14"/>
    <w:rsid w:val="00BF7C95"/>
    <w:rsid w:val="00C00181"/>
    <w:rsid w:val="00C00185"/>
    <w:rsid w:val="00C001D7"/>
    <w:rsid w:val="00C01BD1"/>
    <w:rsid w:val="00C044CD"/>
    <w:rsid w:val="00C07B1D"/>
    <w:rsid w:val="00C07CB9"/>
    <w:rsid w:val="00C07DF6"/>
    <w:rsid w:val="00C10B9A"/>
    <w:rsid w:val="00C13275"/>
    <w:rsid w:val="00C14B22"/>
    <w:rsid w:val="00C165DB"/>
    <w:rsid w:val="00C21450"/>
    <w:rsid w:val="00C26A2F"/>
    <w:rsid w:val="00C3385B"/>
    <w:rsid w:val="00C3668E"/>
    <w:rsid w:val="00C40666"/>
    <w:rsid w:val="00C44E72"/>
    <w:rsid w:val="00C611C7"/>
    <w:rsid w:val="00C62383"/>
    <w:rsid w:val="00C65121"/>
    <w:rsid w:val="00C721EE"/>
    <w:rsid w:val="00C74F73"/>
    <w:rsid w:val="00C75B31"/>
    <w:rsid w:val="00C76CC6"/>
    <w:rsid w:val="00C914B8"/>
    <w:rsid w:val="00C918EA"/>
    <w:rsid w:val="00C94895"/>
    <w:rsid w:val="00C9691D"/>
    <w:rsid w:val="00C96D72"/>
    <w:rsid w:val="00CA5204"/>
    <w:rsid w:val="00CB5E96"/>
    <w:rsid w:val="00CC2C24"/>
    <w:rsid w:val="00CD47F3"/>
    <w:rsid w:val="00CD5594"/>
    <w:rsid w:val="00CD5B29"/>
    <w:rsid w:val="00CD6D51"/>
    <w:rsid w:val="00CE03A5"/>
    <w:rsid w:val="00CF71CC"/>
    <w:rsid w:val="00D029EC"/>
    <w:rsid w:val="00D03076"/>
    <w:rsid w:val="00D041B8"/>
    <w:rsid w:val="00D10F6D"/>
    <w:rsid w:val="00D1264A"/>
    <w:rsid w:val="00D142D0"/>
    <w:rsid w:val="00D15CDD"/>
    <w:rsid w:val="00D17EE2"/>
    <w:rsid w:val="00D2112F"/>
    <w:rsid w:val="00D41A39"/>
    <w:rsid w:val="00D46E0D"/>
    <w:rsid w:val="00D6134D"/>
    <w:rsid w:val="00D665CB"/>
    <w:rsid w:val="00D66A84"/>
    <w:rsid w:val="00D66BB2"/>
    <w:rsid w:val="00D72225"/>
    <w:rsid w:val="00D760CA"/>
    <w:rsid w:val="00D775D4"/>
    <w:rsid w:val="00D85BB3"/>
    <w:rsid w:val="00D85C35"/>
    <w:rsid w:val="00D87793"/>
    <w:rsid w:val="00DA676A"/>
    <w:rsid w:val="00DB6697"/>
    <w:rsid w:val="00DC067D"/>
    <w:rsid w:val="00DC0BD8"/>
    <w:rsid w:val="00DD141F"/>
    <w:rsid w:val="00DD72E1"/>
    <w:rsid w:val="00DE0B9C"/>
    <w:rsid w:val="00DE15B2"/>
    <w:rsid w:val="00DE5202"/>
    <w:rsid w:val="00DF1951"/>
    <w:rsid w:val="00DF279A"/>
    <w:rsid w:val="00DF5719"/>
    <w:rsid w:val="00E00EAE"/>
    <w:rsid w:val="00E02AE6"/>
    <w:rsid w:val="00E110C8"/>
    <w:rsid w:val="00E12DF9"/>
    <w:rsid w:val="00E23511"/>
    <w:rsid w:val="00E23607"/>
    <w:rsid w:val="00E27E39"/>
    <w:rsid w:val="00E27FB3"/>
    <w:rsid w:val="00E34EB2"/>
    <w:rsid w:val="00E3539F"/>
    <w:rsid w:val="00E4001C"/>
    <w:rsid w:val="00E40215"/>
    <w:rsid w:val="00E412C6"/>
    <w:rsid w:val="00E42647"/>
    <w:rsid w:val="00E44A1C"/>
    <w:rsid w:val="00E565DC"/>
    <w:rsid w:val="00E5772D"/>
    <w:rsid w:val="00E6566A"/>
    <w:rsid w:val="00E720A2"/>
    <w:rsid w:val="00E72535"/>
    <w:rsid w:val="00E753C6"/>
    <w:rsid w:val="00E76ABD"/>
    <w:rsid w:val="00E82DD7"/>
    <w:rsid w:val="00E907FD"/>
    <w:rsid w:val="00E9373B"/>
    <w:rsid w:val="00EA1C02"/>
    <w:rsid w:val="00EA36D2"/>
    <w:rsid w:val="00EA542D"/>
    <w:rsid w:val="00EB271B"/>
    <w:rsid w:val="00EB66B2"/>
    <w:rsid w:val="00EB75AF"/>
    <w:rsid w:val="00EC0685"/>
    <w:rsid w:val="00ED334D"/>
    <w:rsid w:val="00ED57E2"/>
    <w:rsid w:val="00ED72B5"/>
    <w:rsid w:val="00ED7600"/>
    <w:rsid w:val="00ED764C"/>
    <w:rsid w:val="00EE1AF4"/>
    <w:rsid w:val="00EE3232"/>
    <w:rsid w:val="00EE4CC2"/>
    <w:rsid w:val="00EE7CE7"/>
    <w:rsid w:val="00EF0394"/>
    <w:rsid w:val="00EF094E"/>
    <w:rsid w:val="00EF777D"/>
    <w:rsid w:val="00F006C8"/>
    <w:rsid w:val="00F050E2"/>
    <w:rsid w:val="00F054BF"/>
    <w:rsid w:val="00F1220E"/>
    <w:rsid w:val="00F124BF"/>
    <w:rsid w:val="00F150BE"/>
    <w:rsid w:val="00F276AE"/>
    <w:rsid w:val="00F31B44"/>
    <w:rsid w:val="00F41EC2"/>
    <w:rsid w:val="00F457F3"/>
    <w:rsid w:val="00F5007F"/>
    <w:rsid w:val="00F554DA"/>
    <w:rsid w:val="00F60B25"/>
    <w:rsid w:val="00F63AF3"/>
    <w:rsid w:val="00F67100"/>
    <w:rsid w:val="00F672A4"/>
    <w:rsid w:val="00F70C64"/>
    <w:rsid w:val="00F71FA0"/>
    <w:rsid w:val="00F80E50"/>
    <w:rsid w:val="00F81978"/>
    <w:rsid w:val="00F81A18"/>
    <w:rsid w:val="00F8299A"/>
    <w:rsid w:val="00F87B8E"/>
    <w:rsid w:val="00F92A4D"/>
    <w:rsid w:val="00F9642A"/>
    <w:rsid w:val="00FA3F01"/>
    <w:rsid w:val="00FA55EB"/>
    <w:rsid w:val="00FB1494"/>
    <w:rsid w:val="00FB528F"/>
    <w:rsid w:val="00FC6209"/>
    <w:rsid w:val="00FD0217"/>
    <w:rsid w:val="00FD32AC"/>
    <w:rsid w:val="00FD3F33"/>
    <w:rsid w:val="00FD5D2B"/>
    <w:rsid w:val="00FE2DCF"/>
    <w:rsid w:val="00FF38FD"/>
    <w:rsid w:val="00FF5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02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E236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25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A3C6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DD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9B7DAB"/>
    <w:rPr>
      <w:color w:val="0000FF"/>
      <w:u w:val="single"/>
    </w:rPr>
  </w:style>
  <w:style w:type="paragraph" w:styleId="a8">
    <w:name w:val="caption"/>
    <w:basedOn w:val="a"/>
    <w:next w:val="a"/>
    <w:uiPriority w:val="35"/>
    <w:unhideWhenUsed/>
    <w:qFormat/>
    <w:rsid w:val="004227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9">
    <w:name w:val="Типовий"/>
    <w:rsid w:val="00F81A1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uk-UA"/>
    </w:rPr>
  </w:style>
  <w:style w:type="paragraph" w:styleId="aa">
    <w:name w:val="Body Text Indent"/>
    <w:basedOn w:val="a"/>
    <w:link w:val="ab"/>
    <w:semiHidden/>
    <w:rsid w:val="00F81A18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Cs/>
      <w:iCs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semiHidden/>
    <w:rsid w:val="00F81A18"/>
    <w:rPr>
      <w:rFonts w:ascii="Times New Roman" w:eastAsia="Times New Roman" w:hAnsi="Times New Roman" w:cs="Times New Roman"/>
      <w:bCs/>
      <w:iCs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s://zakon.rada.gov.ua/laws/show/2755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НСЗУ</c:v>
                </c:pt>
                <c:pt idx="1">
                  <c:v>Місцевий бюджет</c:v>
                </c:pt>
                <c:pt idx="2">
                  <c:v>Платні послуги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626.20000000000005</c:v>
                </c:pt>
                <c:pt idx="1">
                  <c:v>53.6</c:v>
                </c:pt>
                <c:pt idx="2">
                  <c:v>49.8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dLbl>
              <c:idx val="0"/>
              <c:layout>
                <c:manualLayout>
                  <c:x val="0"/>
                  <c:y val="-4.7619047619047714E-2"/>
                </c:manualLayout>
              </c:layout>
              <c:showVal val="1"/>
              <c:separator>
</c:separator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eparator>
</c:separator>
          </c:dLbls>
          <c:cat>
            <c:strRef>
              <c:f>Лист1!$A$2:$A$4</c:f>
              <c:strCache>
                <c:ptCount val="3"/>
                <c:pt idx="0">
                  <c:v>НСЗУ</c:v>
                </c:pt>
                <c:pt idx="1">
                  <c:v>Місцевий бюджет</c:v>
                </c:pt>
                <c:pt idx="2">
                  <c:v>Платні послуги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867.7</c:v>
                </c:pt>
                <c:pt idx="1">
                  <c:v>80.7</c:v>
                </c:pt>
                <c:pt idx="2">
                  <c:v>65.8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dLbl>
              <c:idx val="0"/>
              <c:layout>
                <c:manualLayout>
                  <c:x val="1.388888888888903E-2"/>
                  <c:y val="-3.1746031746031744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2.3809523809523954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НСЗУ</c:v>
                </c:pt>
                <c:pt idx="1">
                  <c:v>Місцевий бюджет</c:v>
                </c:pt>
                <c:pt idx="2">
                  <c:v>Платні послуги</c:v>
                </c:pt>
              </c:strCache>
            </c:strRef>
          </c:cat>
          <c:val>
            <c:numRef>
              <c:f>Лист1!$D$2:$D$4</c:f>
              <c:numCache>
                <c:formatCode>0.0</c:formatCode>
                <c:ptCount val="3"/>
                <c:pt idx="0">
                  <c:v>822</c:v>
                </c:pt>
                <c:pt idx="1">
                  <c:v>75.099999999999994</c:v>
                </c:pt>
                <c:pt idx="2" formatCode="General">
                  <c:v>73.599999999999994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dLbls>
            <c:dLbl>
              <c:idx val="0"/>
              <c:layout>
                <c:manualLayout>
                  <c:x val="1.2539184952978059E-2"/>
                  <c:y val="-2.6590693257359951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6.2695924764890332E-3"/>
                  <c:y val="-2.6590693257359951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1.2539184952978059E-2"/>
                  <c:y val="-2.2792022792022876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НСЗУ</c:v>
                </c:pt>
                <c:pt idx="1">
                  <c:v>Місцевий бюджет</c:v>
                </c:pt>
                <c:pt idx="2">
                  <c:v>Платні послуги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966.4</c:v>
                </c:pt>
                <c:pt idx="1">
                  <c:v>99.9</c:v>
                </c:pt>
                <c:pt idx="2">
                  <c:v>92.9</c:v>
                </c:pt>
              </c:numCache>
            </c:numRef>
          </c:val>
        </c:ser>
        <c:shape val="box"/>
        <c:axId val="78093312"/>
        <c:axId val="78104832"/>
        <c:axId val="0"/>
      </c:bar3DChart>
      <c:catAx>
        <c:axId val="78093312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78104832"/>
        <c:crosses val="autoZero"/>
        <c:auto val="1"/>
        <c:lblAlgn val="ctr"/>
        <c:lblOffset val="100"/>
      </c:catAx>
      <c:valAx>
        <c:axId val="78104832"/>
        <c:scaling>
          <c:orientation val="minMax"/>
        </c:scaling>
        <c:axPos val="l"/>
        <c:majorGridlines>
          <c:spPr>
            <a:ln cmpd="thickThin"/>
            <a:effectLst>
              <a:outerShdw blurRad="50800" dist="50800" dir="5400000" algn="ctr" rotWithShape="0">
                <a:schemeClr val="tx1">
                  <a:lumMod val="85000"/>
                  <a:lumOff val="15000"/>
                </a:schemeClr>
              </a:outerShdw>
            </a:effectLst>
          </c:spPr>
        </c:majorGridlines>
        <c:numFmt formatCode="General" sourceLinked="1"/>
        <c:tickLblPos val="nextTo"/>
        <c:txPr>
          <a:bodyPr/>
          <a:lstStyle/>
          <a:p>
            <a:pPr>
              <a:defRPr sz="1200" b="1" baseline="0"/>
            </a:pPr>
            <a:endParaRPr lang="ru-RU"/>
          </a:p>
        </c:txPr>
        <c:crossAx val="78093312"/>
        <c:crosses val="autoZero"/>
        <c:crossBetween val="between"/>
      </c:valAx>
    </c:plotArea>
    <c:legend>
      <c:legendPos val="r"/>
      <c:txPr>
        <a:bodyPr/>
        <a:lstStyle/>
        <a:p>
          <a:pPr>
            <a:defRPr sz="1400" b="1"/>
          </a:pPr>
          <a:endParaRPr lang="ru-RU"/>
        </a:p>
      </c:txPr>
    </c:legend>
    <c:plotVisOnly val="1"/>
  </c:chart>
  <c:spPr>
    <a:scene3d>
      <a:camera prst="orthographicFront"/>
      <a:lightRig rig="threePt" dir="t"/>
    </a:scene3d>
    <a:sp3d prstMaterial="dkEdge">
      <a:bevelT w="25400"/>
    </a:sp3d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50"/>
      <c:hPercent val="140"/>
      <c:depthPercent val="140"/>
      <c:rAngAx val="1"/>
    </c:view3D>
    <c:plotArea>
      <c:layout>
        <c:manualLayout>
          <c:layoutTarget val="inner"/>
          <c:xMode val="edge"/>
          <c:yMode val="edge"/>
          <c:x val="0"/>
          <c:y val="0"/>
          <c:w val="0.99903724457755649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rgbClr val="CC00CC"/>
              </a:solidFill>
            </c:spPr>
          </c:dPt>
          <c:dPt>
            <c:idx val="3"/>
            <c:spPr>
              <a:solidFill>
                <a:schemeClr val="accent1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0.13697208674898828"/>
                  <c:y val="-0.13471502590673576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2.1554631659510435E-3"/>
                  <c:y val="0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6.4352566514029475E-3"/>
                  <c:y val="2.2546806649168853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1.2452007886271658E-2"/>
                  <c:y val="7.2538860103626937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Лист1!$A$2:$A$7</c:f>
              <c:strCache>
                <c:ptCount val="6"/>
                <c:pt idx="0">
                  <c:v>Надходження від НСЗУ</c:v>
                </c:pt>
                <c:pt idx="1">
                  <c:v>Місцевий бюджет</c:v>
                </c:pt>
                <c:pt idx="2">
                  <c:v>Платні послуги</c:v>
                </c:pt>
                <c:pt idx="3">
                  <c:v>Плата за оренду комунального майна</c:v>
                </c:pt>
                <c:pt idx="4">
                  <c:v>% банків на залишкі коштів </c:v>
                </c:pt>
                <c:pt idx="5">
                  <c:v>Благодійні внески, гранти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81.5</c:v>
                </c:pt>
                <c:pt idx="1">
                  <c:v>8.3000000000000007</c:v>
                </c:pt>
                <c:pt idx="2">
                  <c:v>7.8</c:v>
                </c:pt>
                <c:pt idx="3">
                  <c:v>0.8</c:v>
                </c:pt>
                <c:pt idx="4">
                  <c:v>1.3</c:v>
                </c:pt>
                <c:pt idx="5">
                  <c:v>0.30000000000000032</c:v>
                </c:pt>
              </c:numCache>
            </c:numRef>
          </c:val>
        </c:ser>
      </c:pie3DChart>
      <c:spPr>
        <a:effectLst>
          <a:outerShdw blurRad="50800" dist="990600" dir="5400000" sx="200000" sy="200000" algn="ctr" rotWithShape="0">
            <a:srgbClr val="000000">
              <a:alpha val="35000"/>
            </a:srgbClr>
          </a:outerShdw>
        </a:effectLst>
        <a:scene3d>
          <a:camera prst="orthographicFront"/>
          <a:lightRig rig="threePt" dir="t"/>
        </a:scene3d>
        <a:sp3d prstMaterial="dkEdge"/>
      </c:spPr>
    </c:plotArea>
    <c:legend>
      <c:legendPos val="r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 cmpd="thickThin">
      <a:solidFill>
        <a:sysClr val="windowText" lastClr="000000">
          <a:alpha val="0"/>
        </a:sysClr>
      </a:solidFill>
    </a:ln>
    <a:effectLst>
      <a:outerShdw blurRad="50800" dist="1765300" dir="5400000" sx="1000" sy="1000" algn="ctr" rotWithShape="0">
        <a:srgbClr val="000000">
          <a:alpha val="73000"/>
        </a:srgbClr>
      </a:outerShdw>
    </a:effectLst>
    <a:scene3d>
      <a:camera prst="orthographicFront"/>
      <a:lightRig rig="threePt" dir="t"/>
    </a:scene3d>
    <a:sp3d prstMaterial="dkEdge">
      <a:bevelT h="57150"/>
      <a:bevelB h="114300"/>
    </a:sp3d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40"/>
      <c:rAngAx val="1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8.3398579879709528E-2"/>
          <c:y val="0.11062210973628399"/>
          <c:w val="0.829023111922918"/>
          <c:h val="0.5725206224222000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25"/>
          <c:dPt>
            <c:idx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0B0-471F-8F60-CAFD67AD090C}"/>
              </c:ext>
            </c:extLst>
          </c:dPt>
          <c:dPt>
            <c:idx val="1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10B0-471F-8F60-CAFD67AD090C}"/>
              </c:ext>
            </c:extLst>
          </c:dPt>
          <c:dPt>
            <c:idx val="2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0B0-471F-8F60-CAFD67AD090C}"/>
              </c:ext>
            </c:extLst>
          </c:dPt>
          <c:dLbls>
            <c:dLbl>
              <c:idx val="0"/>
              <c:layout>
                <c:manualLayout>
                  <c:x val="2.7870477789022859E-2"/>
                  <c:y val="-4.3952630921135556E-2"/>
                </c:manualLayout>
              </c:layout>
              <c:spPr/>
              <c:txPr>
                <a:bodyPr/>
                <a:lstStyle/>
                <a:p>
                  <a:pPr>
                    <a:defRPr sz="1400" b="1"/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B0-471F-8F60-CAFD67AD090C}"/>
                </c:ext>
              </c:extLst>
            </c:dLbl>
            <c:dLbl>
              <c:idx val="1"/>
              <c:layout>
                <c:manualLayout>
                  <c:x val="-2.2487514295822752E-2"/>
                  <c:y val="-4.4100737407824123E-2"/>
                </c:manualLayout>
              </c:layout>
              <c:spPr/>
              <c:txPr>
                <a:bodyPr/>
                <a:lstStyle/>
                <a:p>
                  <a:pPr>
                    <a:defRPr sz="1400" b="1"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3.4233209093377452E-2"/>
                  <c:y val="-1.6370141232345963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0B0-471F-8F60-CAFD67AD090C}"/>
                </c:ext>
              </c:extLst>
            </c:dLbl>
            <c:dLbl>
              <c:idx val="3"/>
              <c:layout>
                <c:manualLayout>
                  <c:x val="4.822896354256658E-3"/>
                  <c:y val="-5.429258842644719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0B0-471F-8F60-CAFD67AD090C}"/>
                </c:ext>
              </c:extLst>
            </c:dLbl>
            <c:dLbl>
              <c:idx val="4"/>
              <c:layout>
                <c:manualLayout>
                  <c:x val="1.7527953990077262E-2"/>
                  <c:y val="-4.14379452568428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B0-471F-8F60-CAFD67AD090C}"/>
                </c:ext>
              </c:extLst>
            </c:dLbl>
            <c:dLbl>
              <c:idx val="5"/>
              <c:layout>
                <c:manualLayout>
                  <c:x val="3.0432453780268081E-2"/>
                  <c:y val="-3.230658667666541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0B0-471F-8F60-CAFD67AD090C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операційні витрати</c:v>
                </c:pt>
                <c:pt idx="1">
                  <c:v>адміністративни витрати</c:v>
                </c:pt>
                <c:pt idx="2">
                  <c:v>капітальні витрати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83.6</c:v>
                </c:pt>
                <c:pt idx="1">
                  <c:v>8.7000000000000011</c:v>
                </c:pt>
                <c:pt idx="2">
                  <c:v>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B0-471F-8F60-CAFD67AD090C}"/>
            </c:ext>
          </c:extLst>
        </c:ser>
      </c:pie3DChart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 cmpd="thickThin">
      <a:solidFill>
        <a:sysClr val="windowText" lastClr="000000"/>
      </a:solidFill>
    </a:ln>
    <a:effectLst>
      <a:outerShdw blurRad="50800" dist="38100" dir="2700000" algn="tl" rotWithShape="0">
        <a:schemeClr val="tx1">
          <a:alpha val="40000"/>
        </a:schemeClr>
      </a:outerShdw>
    </a:effectLst>
    <a:scene3d>
      <a:camera prst="orthographicFront"/>
      <a:lightRig rig="threePt" dir="t"/>
    </a:scene3d>
    <a:sp3d prstMaterial="dkEdge"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>
                <a:solidFill>
                  <a:srgbClr val="FF0000"/>
                </a:solidFill>
              </a:rPr>
              <a:t>СТАЦІОНАР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7435897435897506E-2"/>
          <c:y val="0"/>
          <c:w val="0.80482293559459372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Стаціонар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3.3756309307490413E-2"/>
                  <c:y val="3.3452424507542607E-2"/>
                </c:manualLayout>
              </c:layout>
              <c:showVal val="1"/>
            </c:dLbl>
            <c:dLbl>
              <c:idx val="3"/>
              <c:layout>
                <c:manualLayout>
                  <c:x val="0.12399596204320673"/>
                  <c:y val="-1.4034942601871634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Заробітна плата з нарахуванням</c:v>
                </c:pt>
                <c:pt idx="1">
                  <c:v>Медикаменти</c:v>
                </c:pt>
                <c:pt idx="2">
                  <c:v>Харчування</c:v>
                </c:pt>
                <c:pt idx="3">
                  <c:v>Інші витрати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63.5</c:v>
                </c:pt>
                <c:pt idx="1">
                  <c:v>19.5</c:v>
                </c:pt>
                <c:pt idx="2">
                  <c:v>2.9</c:v>
                </c:pt>
                <c:pt idx="3">
                  <c:v>14.1</c:v>
                </c:pt>
              </c:numCache>
            </c:numRef>
          </c:val>
        </c:ser>
      </c:pie3DChart>
    </c:plotArea>
    <c:legend>
      <c:legendPos val="b"/>
      <c:spPr>
        <a:ln cmpd="thickThin"/>
      </c:spPr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 cmpd="thickThin">
      <a:solidFill>
        <a:schemeClr val="tx1"/>
      </a:solidFill>
    </a:ln>
    <a:effectLst>
      <a:outerShdw blurRad="50800" dist="50800" dir="5400000" algn="ctr" rotWithShape="0">
        <a:schemeClr val="tx1">
          <a:alpha val="71000"/>
        </a:schemeClr>
      </a:outerShdw>
    </a:effectLst>
    <a:scene3d>
      <a:camera prst="orthographicFront"/>
      <a:lightRig rig="threePt" dir="t"/>
    </a:scene3d>
    <a:sp3d prstMaterial="dkEdge"/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0" b="1">
                <a:solidFill>
                  <a:schemeClr val="accent5">
                    <a:lumMod val="50000"/>
                  </a:schemeClr>
                </a:solidFill>
              </a:defRPr>
            </a:pPr>
            <a:r>
              <a:rPr lang="ru-RU" sz="1600" b="1">
                <a:solidFill>
                  <a:schemeClr val="accent5">
                    <a:lumMod val="50000"/>
                  </a:schemeClr>
                </a:solidFill>
              </a:rPr>
              <a:t>ПОЛІКЛІНІКА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5.3703509283561802E-2"/>
          <c:y val="0"/>
          <c:w val="0.9148152036551026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-3.9219597550306212E-2"/>
                  <c:y val="-4.644025557411384E-3"/>
                </c:manualLayout>
              </c:layout>
              <c:showVal val="1"/>
            </c:dLbl>
            <c:dLbl>
              <c:idx val="3"/>
              <c:layout>
                <c:manualLayout>
                  <c:x val="0.17860173033926321"/>
                  <c:y val="-2.0558339298496778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Заробітна плата з нарахуванням </c:v>
                </c:pt>
                <c:pt idx="1">
                  <c:v>Медикаменти </c:v>
                </c:pt>
                <c:pt idx="3">
                  <c:v>Інші витрати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79.900000000000006</c:v>
                </c:pt>
                <c:pt idx="1">
                  <c:v>7.2</c:v>
                </c:pt>
                <c:pt idx="3">
                  <c:v>12.9</c:v>
                </c:pt>
              </c:numCache>
            </c:numRef>
          </c:val>
        </c:ser>
      </c:pie3DChart>
      <c:spPr>
        <a:ln cmpd="thickThin"/>
        <a:effectLst>
          <a:outerShdw blurRad="50800" dist="50800" dir="5400000" algn="ctr" rotWithShape="0">
            <a:schemeClr val="tx1"/>
          </a:outerShdw>
        </a:effectLst>
      </c:spPr>
    </c:plotArea>
    <c:legend>
      <c:legendPos val="b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 cmpd="thickThin">
      <a:solidFill>
        <a:schemeClr val="tx1"/>
      </a:solidFill>
    </a:ln>
    <a:effectLst>
      <a:outerShdw blurRad="50800" dist="50800" dir="5400000" algn="ctr" rotWithShape="0">
        <a:sysClr val="windowText" lastClr="000000">
          <a:alpha val="87000"/>
        </a:sysClr>
      </a:outerShdw>
    </a:effectLst>
    <a:scene3d>
      <a:camera prst="orthographicFront"/>
      <a:lightRig rig="threePt" dir="t"/>
    </a:scene3d>
    <a:sp3d prstMaterial="dkEdge"/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376899696048662"/>
          <c:y val="3.0571612074502524E-2"/>
          <c:w val="0.81666770377107112"/>
          <c:h val="0.90289017341040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dLbls>
            <c:dLbl>
              <c:idx val="0"/>
              <c:layout>
                <c:manualLayout>
                  <c:x val="-1.8489984591679508E-2"/>
                  <c:y val="-3.3085194375517052E-3"/>
                </c:manualLayout>
              </c:layout>
              <c:showVal val="1"/>
            </c:dLbl>
            <c:dLbl>
              <c:idx val="4"/>
              <c:layout>
                <c:manualLayout>
                  <c:x val="-1.82370820668693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>
                    <a:solidFill>
                      <a:schemeClr val="accent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ЛІКАРІ</c:v>
                </c:pt>
                <c:pt idx="1">
                  <c:v>ФАХІВЦІ з базовою вищою освітою</c:v>
                </c:pt>
                <c:pt idx="2">
                  <c:v>Молодший медичний персонал</c:v>
                </c:pt>
                <c:pt idx="3">
                  <c:v>Профісіонали, спеціалісти</c:v>
                </c:pt>
                <c:pt idx="4">
                  <c:v>Інший персонал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26153</c:v>
                </c:pt>
                <c:pt idx="1">
                  <c:v>16735</c:v>
                </c:pt>
                <c:pt idx="2">
                  <c:v>9034</c:v>
                </c:pt>
                <c:pt idx="3">
                  <c:v>20476</c:v>
                </c:pt>
                <c:pt idx="4">
                  <c:v>9747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dLbls>
            <c:dLbl>
              <c:idx val="0"/>
              <c:layout>
                <c:manualLayout>
                  <c:x val="1.0256410256410241E-2"/>
                  <c:y val="-0.10501363005300028"/>
                </c:manualLayout>
              </c:layout>
              <c:tx>
                <c:rich>
                  <a:bodyPr/>
                  <a:lstStyle/>
                  <a:p>
                    <a:pPr>
                      <a:defRPr sz="1000" b="1">
                        <a:solidFill>
                          <a:srgbClr val="00B05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>
                        <a:solidFill>
                          <a:srgbClr val="00B050"/>
                        </a:solidFill>
                      </a:rPr>
                      <a:t>ЛІКАРІ</a:t>
                    </a:r>
                    <a:r>
                      <a:rPr lang="ru-RU" baseline="0">
                        <a:solidFill>
                          <a:srgbClr val="00B050"/>
                        </a:solidFill>
                      </a:rPr>
                      <a:t>  </a:t>
                    </a:r>
                  </a:p>
                  <a:p>
                    <a:pPr>
                      <a:defRPr sz="1000" b="1">
                        <a:solidFill>
                          <a:srgbClr val="00B05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400" b="1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26722</a:t>
                    </a:r>
                  </a:p>
                  <a:p>
                    <a:pPr>
                      <a:defRPr sz="1000" b="1">
                        <a:solidFill>
                          <a:srgbClr val="00B05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endParaRPr lang="ru-RU" sz="1400" b="1">
                      <a:solidFill>
                        <a:schemeClr val="accent6">
                          <a:lumMod val="75000"/>
                        </a:schemeClr>
                      </a:solidFill>
                    </a:endParaRPr>
                  </a:p>
                </c:rich>
              </c:tx>
              <c:spPr/>
              <c:dLblPos val="inEnd"/>
              <c:showLegendKey val="1"/>
              <c:showVal val="1"/>
              <c:showCatName val="1"/>
            </c:dLbl>
            <c:dLbl>
              <c:idx val="1"/>
              <c:layout>
                <c:manualLayout>
                  <c:x val="2.0512820512820516E-2"/>
                  <c:y val="-0.14329083181542404"/>
                </c:manualLayout>
              </c:layout>
              <c:tx>
                <c:rich>
                  <a:bodyPr/>
                  <a:lstStyle/>
                  <a:p>
                    <a:pPr>
                      <a:defRPr sz="1000" b="1">
                        <a:solidFill>
                          <a:srgbClr val="00B05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>
                        <a:solidFill>
                          <a:srgbClr val="00B050"/>
                        </a:solidFill>
                      </a:rPr>
                      <a:t>ФАХІВЦІ з базовою вищою освітою</a:t>
                    </a:r>
                  </a:p>
                  <a:p>
                    <a:pPr>
                      <a:defRPr sz="1000" b="1">
                        <a:solidFill>
                          <a:srgbClr val="00B05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400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 </a:t>
                    </a:r>
                    <a:r>
                      <a:rPr lang="ru-RU" sz="1400" b="1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17530</a:t>
                    </a:r>
                  </a:p>
                </c:rich>
              </c:tx>
              <c:spPr/>
              <c:dLblPos val="inEnd"/>
              <c:showVal val="1"/>
              <c:showCatName val="1"/>
            </c:dLbl>
            <c:dLbl>
              <c:idx val="2"/>
              <c:layout>
                <c:manualLayout>
                  <c:x val="-1.2307692307692308E-2"/>
                  <c:y val="-0.15300546448087568"/>
                </c:manualLayout>
              </c:layout>
              <c:tx>
                <c:rich>
                  <a:bodyPr/>
                  <a:lstStyle/>
                  <a:p>
                    <a:pPr>
                      <a:defRPr sz="1000" b="1">
                        <a:solidFill>
                          <a:srgbClr val="00B05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/>
                      <a:t>Молодший медичний персонал</a:t>
                    </a:r>
                  </a:p>
                  <a:p>
                    <a:pPr>
                      <a:defRPr sz="1000" b="1">
                        <a:solidFill>
                          <a:srgbClr val="00B05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4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rPr>
                      <a:t> </a:t>
                    </a:r>
                    <a:r>
                      <a:rPr lang="ru-RU" sz="1400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10199</a:t>
                    </a:r>
                  </a:p>
                </c:rich>
              </c:tx>
              <c:spPr/>
              <c:dLblPos val="inEnd"/>
              <c:showVal val="1"/>
              <c:showCatName val="1"/>
            </c:dLbl>
            <c:dLbl>
              <c:idx val="3"/>
              <c:layout>
                <c:manualLayout>
                  <c:x val="2.4615384615384615E-2"/>
                  <c:y val="-0.14329083181542404"/>
                </c:manualLayout>
              </c:layout>
              <c:tx>
                <c:rich>
                  <a:bodyPr/>
                  <a:lstStyle/>
                  <a:p>
                    <a:pPr>
                      <a:defRPr sz="1000" b="1">
                        <a:solidFill>
                          <a:srgbClr val="00B05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/>
                      <a:t>Профісіонали, </a:t>
                    </a:r>
                  </a:p>
                  <a:p>
                    <a:pPr>
                      <a:defRPr sz="1000" b="1">
                        <a:solidFill>
                          <a:srgbClr val="00B05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/>
                      <a:t>спеціалісти</a:t>
                    </a:r>
                  </a:p>
                  <a:p>
                    <a:pPr>
                      <a:defRPr sz="1000" b="1">
                        <a:solidFill>
                          <a:srgbClr val="00B05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400" b="1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rPr>
                      <a:t> </a:t>
                    </a:r>
                    <a:r>
                      <a:rPr lang="ru-RU" sz="1400" b="1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23902</a:t>
                    </a:r>
                  </a:p>
                </c:rich>
              </c:tx>
              <c:spPr/>
              <c:dLblPos val="inEnd"/>
              <c:showVal val="1"/>
              <c:showCatName val="1"/>
            </c:dLbl>
            <c:dLbl>
              <c:idx val="4"/>
              <c:layout>
                <c:manualLayout>
                  <c:x val="-2.4615384615384615E-2"/>
                  <c:y val="-0.10200364298725077"/>
                </c:manualLayout>
              </c:layout>
              <c:tx>
                <c:rich>
                  <a:bodyPr/>
                  <a:lstStyle/>
                  <a:p>
                    <a:pPr>
                      <a:defRPr sz="1000" b="1">
                        <a:solidFill>
                          <a:srgbClr val="00B05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/>
                      <a:t>Інший персонал  </a:t>
                    </a:r>
                    <a:endParaRPr lang="ru-RU" sz="1400">
                      <a:solidFill>
                        <a:schemeClr val="accent6">
                          <a:lumMod val="75000"/>
                        </a:schemeClr>
                      </a:solidFill>
                    </a:endParaRPr>
                  </a:p>
                  <a:p>
                    <a:pPr>
                      <a:defRPr sz="1000" b="1">
                        <a:solidFill>
                          <a:srgbClr val="00B05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400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10590</a:t>
                    </a:r>
                  </a:p>
                </c:rich>
              </c:tx>
              <c:spPr/>
              <c:dLblPos val="inEnd"/>
              <c:showVal val="1"/>
              <c:showCatName val="1"/>
            </c:dLbl>
            <c:txPr>
              <a:bodyPr/>
              <a:lstStyle/>
              <a:p>
                <a:pPr>
                  <a:defRPr sz="1000" b="1">
                    <a:solidFill>
                      <a:srgbClr val="FF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  <c:showCatName val="1"/>
          </c:dLbls>
          <c:cat>
            <c:strRef>
              <c:f>Лист1!$A$2:$A$6</c:f>
              <c:strCache>
                <c:ptCount val="5"/>
                <c:pt idx="0">
                  <c:v>ЛІКАРІ</c:v>
                </c:pt>
                <c:pt idx="1">
                  <c:v>ФАХІВЦІ з базовою вищою освітою</c:v>
                </c:pt>
                <c:pt idx="2">
                  <c:v>Молодший медичний персонал</c:v>
                </c:pt>
                <c:pt idx="3">
                  <c:v>Профісіонали, спеціалісти</c:v>
                </c:pt>
                <c:pt idx="4">
                  <c:v>Інший персонал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26722</c:v>
                </c:pt>
                <c:pt idx="1">
                  <c:v>17530</c:v>
                </c:pt>
                <c:pt idx="2">
                  <c:v>10199</c:v>
                </c:pt>
                <c:pt idx="3">
                  <c:v>23902</c:v>
                </c:pt>
                <c:pt idx="4">
                  <c:v>10590</c:v>
                </c:pt>
              </c:numCache>
            </c:numRef>
          </c:val>
        </c:ser>
        <c:overlap val="5"/>
        <c:axId val="78534528"/>
        <c:axId val="78536064"/>
      </c:barChart>
      <c:catAx>
        <c:axId val="78534528"/>
        <c:scaling>
          <c:orientation val="minMax"/>
        </c:scaling>
        <c:axPos val="b"/>
        <c:majorTickMark val="none"/>
        <c:tickLblPos val="none"/>
        <c:txPr>
          <a:bodyPr rot="0" vert="horz" anchor="t" anchorCtr="0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8536064"/>
        <c:crosses val="autoZero"/>
        <c:lblAlgn val="ctr"/>
        <c:lblOffset val="50"/>
        <c:tickLblSkip val="1"/>
      </c:catAx>
      <c:valAx>
        <c:axId val="7853606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8534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204094488188978"/>
          <c:y val="5.6761183540582016E-2"/>
          <c:w val="8.9241106400161488E-2"/>
          <c:h val="9.9592195784271365E-2"/>
        </c:manualLayout>
      </c:layout>
      <c:txPr>
        <a:bodyPr/>
        <a:lstStyle/>
        <a:p>
          <a:pPr>
            <a:defRPr sz="1200" b="1"/>
          </a:pPr>
          <a:endParaRPr lang="ru-RU"/>
        </a:p>
      </c:txPr>
    </c:legend>
    <c:plotVisOnly val="1"/>
  </c:chart>
  <c:spPr>
    <a:ln cmpd="thickThin">
      <a:solidFill>
        <a:sysClr val="windowText" lastClr="000000"/>
      </a:solidFill>
    </a:ln>
    <a:effectLst>
      <a:outerShdw blurRad="50800" dist="50800" dir="5400000" algn="ctr" rotWithShape="0">
        <a:sysClr val="windowText" lastClr="000000">
          <a:alpha val="59000"/>
        </a:sysClr>
      </a:outerShdw>
    </a:effectLst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D0A8B-B33E-45C0-A283-14A88989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4642</Words>
  <Characters>26460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11</cp:revision>
  <cp:lastPrinted>2025-02-06T07:20:00Z</cp:lastPrinted>
  <dcterms:created xsi:type="dcterms:W3CDTF">2025-02-06T07:21:00Z</dcterms:created>
  <dcterms:modified xsi:type="dcterms:W3CDTF">2025-02-06T09:51:00Z</dcterms:modified>
</cp:coreProperties>
</file>